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75EE90" w14:textId="77777777" w:rsidR="00072D6E" w:rsidRDefault="00966A5C">
      <w:pPr>
        <w:spacing w:before="40" w:after="0" w:line="240" w:lineRule="auto"/>
        <w:rPr>
          <w:rFonts w:ascii="Avenir Next" w:eastAsia="Avenir Next" w:hAnsi="Avenir Next" w:cs="Avenir Next"/>
          <w:color w:val="321E12"/>
          <w:sz w:val="68"/>
          <w:lang w:val="it-CH"/>
        </w:rPr>
      </w:pPr>
      <w:r w:rsidRPr="00072D6E">
        <w:rPr>
          <w:rFonts w:ascii="Avenir Next" w:eastAsia="Avenir Next" w:hAnsi="Avenir Next" w:cs="Avenir Next"/>
          <w:b/>
          <w:lang w:val="it-CH"/>
        </w:rPr>
        <w:t>S A L L E N B A C H · O R G</w:t>
      </w:r>
      <w:r w:rsidRPr="00072D6E">
        <w:rPr>
          <w:lang w:val="it-CH"/>
        </w:rPr>
        <w:br/>
      </w:r>
      <w:r w:rsidRPr="00072D6E">
        <w:rPr>
          <w:lang w:val="it-CH"/>
        </w:rPr>
        <w:br/>
      </w:r>
      <w:r w:rsidRPr="00072D6E">
        <w:rPr>
          <w:lang w:val="it-CH"/>
        </w:rPr>
        <w:br/>
      </w:r>
      <w:r w:rsidRPr="00072D6E">
        <w:rPr>
          <w:rFonts w:ascii="Avenir Next" w:eastAsia="Avenir Next" w:hAnsi="Avenir Next" w:cs="Avenir Next"/>
          <w:b/>
          <w:color w:val="C5A059"/>
          <w:sz w:val="19"/>
          <w:lang w:val="it-CH"/>
        </w:rPr>
        <w:t>●  AI GOVERNANCE · 2026</w:t>
      </w:r>
      <w:r w:rsidRPr="00072D6E">
        <w:rPr>
          <w:lang w:val="it-CH"/>
        </w:rPr>
        <w:br/>
      </w:r>
    </w:p>
    <w:p w14:paraId="779776A3" w14:textId="7F98154C" w:rsidR="00C97053" w:rsidRPr="00072D6E" w:rsidRDefault="00966A5C">
      <w:pPr>
        <w:spacing w:before="40" w:after="0" w:line="240" w:lineRule="auto"/>
        <w:rPr>
          <w:lang w:val="de-CH"/>
        </w:rPr>
      </w:pPr>
      <w:r w:rsidRPr="00072D6E">
        <w:rPr>
          <w:rFonts w:ascii="Avenir Next" w:eastAsia="Avenir Next" w:hAnsi="Avenir Next" w:cs="Avenir Next"/>
          <w:color w:val="321E12"/>
          <w:sz w:val="68"/>
          <w:lang w:val="de-CH"/>
        </w:rPr>
        <w:t>KI-Richtlinie</w:t>
      </w:r>
    </w:p>
    <w:p w14:paraId="08AF4341" w14:textId="76468CA7" w:rsidR="00C97053" w:rsidRPr="0021644B" w:rsidRDefault="00146A86">
      <w:pPr>
        <w:pBdr>
          <w:bottom w:val="single" w:sz="14" w:space="10" w:color="C5A059"/>
        </w:pBdr>
        <w:spacing w:before="160" w:after="0" w:line="269" w:lineRule="auto"/>
        <w:rPr>
          <w:lang w:val="de-CH"/>
        </w:rPr>
      </w:pPr>
      <w:r>
        <w:rPr>
          <w:rFonts w:ascii="Avenir Next" w:eastAsia="Avenir Next" w:hAnsi="Avenir Next" w:cs="Avenir Next"/>
          <w:color w:val="C5A059"/>
          <w:sz w:val="38"/>
          <w:lang w:val="de-CH"/>
        </w:rPr>
        <w:t>Muster</w:t>
      </w:r>
      <w:r w:rsidRPr="00072D6E">
        <w:rPr>
          <w:rFonts w:ascii="Avenir Next" w:eastAsia="Avenir Next" w:hAnsi="Avenir Next" w:cs="Avenir Next"/>
          <w:color w:val="C5A059"/>
          <w:sz w:val="38"/>
          <w:lang w:val="de-CH"/>
        </w:rPr>
        <w:t xml:space="preserve"> </w:t>
      </w:r>
      <w:r w:rsidR="00966A5C" w:rsidRPr="00072D6E">
        <w:rPr>
          <w:rFonts w:ascii="Avenir Next" w:eastAsia="Avenir Next" w:hAnsi="Avenir Next" w:cs="Avenir Next"/>
          <w:color w:val="C5A059"/>
          <w:sz w:val="38"/>
          <w:lang w:val="de-CH"/>
        </w:rPr>
        <w:t>AG</w:t>
      </w:r>
      <w:r w:rsidR="00966A5C" w:rsidRPr="00072D6E">
        <w:rPr>
          <w:rFonts w:ascii="Avenir Next" w:eastAsia="Avenir Next" w:hAnsi="Avenir Next" w:cs="Avenir Next"/>
          <w:sz w:val="30"/>
          <w:lang w:val="de-CH"/>
        </w:rPr>
        <w:br/>
        <w:t>Leitplanken für den verantwortungsvollen</w:t>
      </w:r>
      <w:r w:rsidR="00966A5C" w:rsidRPr="00072D6E">
        <w:rPr>
          <w:rFonts w:ascii="Avenir Next" w:eastAsia="Avenir Next" w:hAnsi="Avenir Next" w:cs="Avenir Next"/>
          <w:sz w:val="30"/>
          <w:lang w:val="de-CH"/>
        </w:rPr>
        <w:br/>
        <w:t>Einsatz künstlicher Intelligenz</w:t>
      </w:r>
      <w:r w:rsidR="00966A5C" w:rsidRPr="00072D6E">
        <w:rPr>
          <w:lang w:val="de-CH"/>
        </w:rPr>
        <w:br/>
      </w:r>
      <w:r w:rsidR="00966A5C" w:rsidRPr="00072D6E">
        <w:rPr>
          <w:lang w:val="de-CH"/>
        </w:rPr>
        <w:br/>
      </w:r>
      <w:r w:rsidR="00072D6E">
        <w:rPr>
          <w:rFonts w:ascii="Avenir Next" w:eastAsia="Avenir Next" w:hAnsi="Avenir Next" w:cs="Avenir Next"/>
          <w:b/>
          <w:color w:val="C5A059"/>
          <w:sz w:val="18"/>
          <w:lang w:val="de-CH"/>
        </w:rPr>
        <w:t xml:space="preserve">30 </w:t>
      </w:r>
      <w:r w:rsidR="00966A5C" w:rsidRPr="00072D6E">
        <w:rPr>
          <w:rFonts w:ascii="Avenir Next" w:eastAsia="Avenir Next" w:hAnsi="Avenir Next" w:cs="Avenir Next"/>
          <w:b/>
          <w:color w:val="C5A059"/>
          <w:sz w:val="18"/>
          <w:lang w:val="de-CH"/>
        </w:rPr>
        <w:t xml:space="preserve">JUNI </w:t>
      </w:r>
      <w:proofErr w:type="gramStart"/>
      <w:r w:rsidR="00966A5C" w:rsidRPr="00072D6E">
        <w:rPr>
          <w:rFonts w:ascii="Avenir Next" w:eastAsia="Avenir Next" w:hAnsi="Avenir Next" w:cs="Avenir Next"/>
          <w:b/>
          <w:color w:val="C5A059"/>
          <w:sz w:val="18"/>
          <w:lang w:val="de-CH"/>
        </w:rPr>
        <w:t>2026  ·</w:t>
      </w:r>
      <w:proofErr w:type="gramEnd"/>
      <w:r w:rsidR="00966A5C" w:rsidRPr="00072D6E">
        <w:rPr>
          <w:rFonts w:ascii="Avenir Next" w:eastAsia="Avenir Next" w:hAnsi="Avenir Next" w:cs="Avenir Next"/>
          <w:b/>
          <w:color w:val="C5A059"/>
          <w:sz w:val="18"/>
          <w:lang w:val="de-CH"/>
        </w:rPr>
        <w:t xml:space="preserve">  </w:t>
      </w:r>
      <w:r w:rsidR="00072D6E">
        <w:rPr>
          <w:rFonts w:ascii="Avenir Next" w:eastAsia="Avenir Next" w:hAnsi="Avenir Next" w:cs="Avenir Next"/>
          <w:b/>
          <w:color w:val="C5A059"/>
          <w:sz w:val="18"/>
          <w:lang w:val="de-CH"/>
        </w:rPr>
        <w:t>BEISPIEL ZUM EDITIEREN</w:t>
      </w:r>
      <w:r w:rsidR="00966A5C" w:rsidRPr="00072D6E">
        <w:rPr>
          <w:lang w:val="de-CH"/>
        </w:rPr>
        <w:br/>
      </w:r>
      <w:r w:rsidR="00966A5C" w:rsidRPr="00072D6E">
        <w:rPr>
          <w:lang w:val="de-CH"/>
        </w:rPr>
        <w:br/>
      </w:r>
      <w:r w:rsidR="00966A5C" w:rsidRPr="00072D6E">
        <w:rPr>
          <w:lang w:val="de-CH"/>
        </w:rPr>
        <w:br/>
      </w:r>
      <w:r w:rsidR="00966A5C" w:rsidRPr="00072D6E">
        <w:rPr>
          <w:lang w:val="de-CH"/>
        </w:rPr>
        <w:br/>
      </w:r>
      <w:r w:rsidR="00966A5C" w:rsidRPr="00072D6E">
        <w:rPr>
          <w:lang w:val="de-CH"/>
        </w:rPr>
        <w:br/>
      </w:r>
      <w:r w:rsidR="00966A5C" w:rsidRPr="00072D6E">
        <w:rPr>
          <w:lang w:val="de-CH"/>
        </w:rPr>
        <w:br/>
      </w:r>
      <w:proofErr w:type="gramStart"/>
      <w:r w:rsidR="00966A5C" w:rsidRPr="00072D6E">
        <w:rPr>
          <w:rFonts w:ascii="Avenir Next" w:eastAsia="Avenir Next" w:hAnsi="Avenir Next" w:cs="Avenir Next"/>
          <w:b/>
          <w:color w:val="766B62"/>
          <w:sz w:val="17"/>
          <w:lang w:val="de-CH"/>
        </w:rPr>
        <w:t>KLARHEIT  ·</w:t>
      </w:r>
      <w:proofErr w:type="gramEnd"/>
      <w:r w:rsidR="00966A5C" w:rsidRPr="00072D6E">
        <w:rPr>
          <w:rFonts w:ascii="Avenir Next" w:eastAsia="Avenir Next" w:hAnsi="Avenir Next" w:cs="Avenir Next"/>
          <w:b/>
          <w:color w:val="766B62"/>
          <w:sz w:val="17"/>
          <w:lang w:val="de-CH"/>
        </w:rPr>
        <w:t xml:space="preserve">  </w:t>
      </w:r>
      <w:proofErr w:type="gramStart"/>
      <w:r w:rsidR="00966A5C" w:rsidRPr="00072D6E">
        <w:rPr>
          <w:rFonts w:ascii="Avenir Next" w:eastAsia="Avenir Next" w:hAnsi="Avenir Next" w:cs="Avenir Next"/>
          <w:b/>
          <w:color w:val="766B62"/>
          <w:sz w:val="17"/>
          <w:lang w:val="de-CH"/>
        </w:rPr>
        <w:t>VERANTWORTUNG  ·</w:t>
      </w:r>
      <w:proofErr w:type="gramEnd"/>
      <w:r w:rsidR="00966A5C" w:rsidRPr="00072D6E">
        <w:rPr>
          <w:rFonts w:ascii="Avenir Next" w:eastAsia="Avenir Next" w:hAnsi="Avenir Next" w:cs="Avenir Next"/>
          <w:b/>
          <w:color w:val="766B62"/>
          <w:sz w:val="17"/>
          <w:lang w:val="de-CH"/>
        </w:rPr>
        <w:t xml:space="preserve">  WIRKSAMKEIT</w:t>
      </w:r>
      <w:r w:rsidR="00966A5C" w:rsidRPr="00072D6E">
        <w:rPr>
          <w:lang w:val="de-CH"/>
        </w:rPr>
        <w:br w:type="page"/>
      </w:r>
    </w:p>
    <w:p w14:paraId="46B3D32E" w14:textId="2B68022B" w:rsidR="00C97053" w:rsidRPr="0021644B" w:rsidRDefault="00966A5C">
      <w:pPr>
        <w:pStyle w:val="SallenbachNote"/>
        <w:pBdr>
          <w:left w:val="single" w:sz="18" w:space="6" w:color="C5A059"/>
        </w:pBdr>
        <w:shd w:val="clear" w:color="auto" w:fill="F7F3ED"/>
        <w:rPr>
          <w:lang w:val="de-CH"/>
        </w:rPr>
      </w:pPr>
      <w:proofErr w:type="gramStart"/>
      <w:r w:rsidRPr="00072D6E">
        <w:rPr>
          <w:rFonts w:ascii="Avenir Next" w:eastAsia="Avenir Next" w:hAnsi="Avenir Next" w:cs="Avenir Next"/>
          <w:b/>
          <w:color w:val="C5A059"/>
          <w:sz w:val="17"/>
          <w:lang w:val="de-CH"/>
        </w:rPr>
        <w:lastRenderedPageBreak/>
        <w:t xml:space="preserve">HINWEIS  </w:t>
      </w:r>
      <w:r w:rsidRPr="00072D6E">
        <w:rPr>
          <w:lang w:val="de-CH"/>
        </w:rPr>
        <w:t>Diese</w:t>
      </w:r>
      <w:proofErr w:type="gramEnd"/>
      <w:r w:rsidRPr="00072D6E">
        <w:rPr>
          <w:lang w:val="de-CH"/>
        </w:rPr>
        <w:t xml:space="preserve"> Richtlinie ist vor Inkraftsetzung an die konkreten Datenbearbeitungen, freigegebenen Anwendungen und die Vertragslage der </w:t>
      </w:r>
      <w:r w:rsidR="00146A86">
        <w:rPr>
          <w:lang w:val="de-CH"/>
        </w:rPr>
        <w:t>Muster</w:t>
      </w:r>
      <w:r w:rsidR="00146A86" w:rsidRPr="00072D6E">
        <w:rPr>
          <w:lang w:val="de-CH"/>
        </w:rPr>
        <w:t xml:space="preserve"> </w:t>
      </w:r>
      <w:r w:rsidRPr="00072D6E">
        <w:rPr>
          <w:lang w:val="de-CH"/>
        </w:rPr>
        <w:t>AG anzupassen.</w:t>
      </w:r>
    </w:p>
    <w:p w14:paraId="7BB958E2"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1. Zweck und Grundsatz</w:t>
      </w:r>
    </w:p>
    <w:p w14:paraId="1093D9C1" w14:textId="5027EEC2" w:rsidR="00C97053" w:rsidRPr="0021644B" w:rsidRDefault="00966A5C">
      <w:pPr>
        <w:rPr>
          <w:lang w:val="de-CH"/>
        </w:rPr>
      </w:pPr>
      <w:r w:rsidRPr="00072D6E">
        <w:rPr>
          <w:lang w:val="de-CH"/>
        </w:rPr>
        <w:t xml:space="preserve">Künstliche Intelligenz soll bei </w:t>
      </w:r>
      <w:r w:rsidRPr="00146A86">
        <w:rPr>
          <w:lang w:val="de-CH"/>
        </w:rPr>
        <w:t xml:space="preserve">der </w:t>
      </w:r>
      <w:r w:rsidR="00146A86" w:rsidRPr="00146A86">
        <w:rPr>
          <w:lang w:val="de-CH"/>
        </w:rPr>
        <w:t xml:space="preserve">Muster </w:t>
      </w:r>
      <w:r w:rsidRPr="00146A86">
        <w:rPr>
          <w:lang w:val="de-CH"/>
        </w:rPr>
        <w:t>AG («</w:t>
      </w:r>
      <w:r w:rsidRPr="00072D6E">
        <w:rPr>
          <w:lang w:val="de-CH"/>
        </w:rPr>
        <w:t>Gesellschaft») genutzt werden. Sie kann die Arbeit der Mitarbeiter massgeblich unterstützen, strategische Entscheidungen vorbereiten, alltägliche Arbeitsabläufe erleichtern und die Qualität sowie Effizienz von Leistungen verbessern.</w:t>
      </w:r>
    </w:p>
    <w:p w14:paraId="13157A23" w14:textId="26FF58BA" w:rsidR="00C97053" w:rsidRPr="0021644B" w:rsidRDefault="00966A5C">
      <w:pPr>
        <w:rPr>
          <w:lang w:val="de-CH"/>
        </w:rPr>
      </w:pPr>
      <w:r w:rsidRPr="0021644B">
        <w:rPr>
          <w:lang w:val="de-CH"/>
        </w:rPr>
        <w:t xml:space="preserve">Gleichzeitig entstehen bei der Nutzung künstlicher Intelligenz erhebliche Risiken. Dazu </w:t>
      </w:r>
      <w:proofErr w:type="gramStart"/>
      <w:r w:rsidRPr="0021644B">
        <w:rPr>
          <w:lang w:val="de-CH"/>
        </w:rPr>
        <w:t>gehören</w:t>
      </w:r>
      <w:proofErr w:type="gramEnd"/>
      <w:r w:rsidRPr="0021644B">
        <w:rPr>
          <w:lang w:val="de-CH"/>
        </w:rPr>
        <w:t xml:space="preserve"> insbesondere der Verlust von Geschäftsgeheimnissen, Datenschutzverletzungen, fehlerhafte oder irreführende Ergebnisse, Urheberrechts- und Haftungsrisiken sowie Risiken für die Sicherheit der Informationstechnologie. Anwendungen künstlicher Intelligenz dürfen deshalb nur nach Ma</w:t>
      </w:r>
      <w:r w:rsidR="00114CFB">
        <w:rPr>
          <w:lang w:val="de-CH"/>
        </w:rPr>
        <w:t>ß</w:t>
      </w:r>
      <w:r w:rsidRPr="0021644B">
        <w:rPr>
          <w:lang w:val="de-CH"/>
        </w:rPr>
        <w:t>gabe dieser Richtlinie verwendet werden.</w:t>
      </w:r>
    </w:p>
    <w:p w14:paraId="39FB4CF5"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2. Geltungsbereich</w:t>
      </w:r>
    </w:p>
    <w:p w14:paraId="78C42E57" w14:textId="4C289977" w:rsidR="00C97053" w:rsidRPr="0021644B" w:rsidRDefault="00966A5C">
      <w:pPr>
        <w:rPr>
          <w:lang w:val="de-CH"/>
        </w:rPr>
      </w:pPr>
      <w:r w:rsidRPr="0021644B">
        <w:rPr>
          <w:lang w:val="de-CH"/>
        </w:rPr>
        <w:t xml:space="preserve">Diese Richtlinie gilt für den </w:t>
      </w:r>
      <w:r w:rsidR="00146A86">
        <w:rPr>
          <w:lang w:val="de-CH"/>
        </w:rPr>
        <w:t>Aufsichtsrat oder Verwaltungsrat</w:t>
      </w:r>
      <w:r w:rsidRPr="0021644B">
        <w:rPr>
          <w:lang w:val="de-CH"/>
        </w:rPr>
        <w:t xml:space="preserve"> die Geschäftsleitung, alle Mitarbeiter sowie für externe Beauftragte, soweit sie im Auftrag oder im Interesse der </w:t>
      </w:r>
      <w:r w:rsidR="0021644B">
        <w:rPr>
          <w:lang w:val="de-CH"/>
        </w:rPr>
        <w:t>Gesellschaft</w:t>
      </w:r>
      <w:r w:rsidRPr="0021644B">
        <w:rPr>
          <w:lang w:val="de-CH"/>
        </w:rPr>
        <w:t xml:space="preserve"> tätig sind.</w:t>
      </w:r>
    </w:p>
    <w:p w14:paraId="1932A98F" w14:textId="77777777" w:rsidR="00C97053" w:rsidRPr="0021644B" w:rsidRDefault="00966A5C">
      <w:pPr>
        <w:rPr>
          <w:lang w:val="de-CH"/>
        </w:rPr>
      </w:pPr>
      <w:r w:rsidRPr="0021644B">
        <w:rPr>
          <w:lang w:val="de-CH"/>
        </w:rPr>
        <w:t xml:space="preserve">Sie gilt für alle Anwendungen künstlicher Intelligenz, unabhängig davon, ob diese durch die </w:t>
      </w:r>
      <w:r w:rsidR="0021644B">
        <w:rPr>
          <w:lang w:val="de-CH"/>
        </w:rPr>
        <w:t>Gesellschaft</w:t>
      </w:r>
      <w:r w:rsidRPr="0021644B">
        <w:rPr>
          <w:lang w:val="de-CH"/>
        </w:rPr>
        <w:t xml:space="preserve"> bereitgestellt, durch Mitarbeiter über geschäftliche Benutzerkonten genutzt oder über private Benutzerkonten zur Unterstützung der Arbeit für die </w:t>
      </w:r>
      <w:r w:rsidR="0021644B">
        <w:rPr>
          <w:lang w:val="de-CH"/>
        </w:rPr>
        <w:t>Gesellschaft</w:t>
      </w:r>
      <w:r w:rsidRPr="0021644B">
        <w:rPr>
          <w:lang w:val="de-CH"/>
        </w:rPr>
        <w:t xml:space="preserve"> eingesetzt werden.</w:t>
      </w:r>
    </w:p>
    <w:p w14:paraId="479F8048"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3. Organisation und Verantwortung</w:t>
      </w:r>
    </w:p>
    <w:p w14:paraId="4D091FE0" w14:textId="77777777" w:rsidR="00C97053" w:rsidRPr="0021644B" w:rsidRDefault="00966A5C">
      <w:pPr>
        <w:rPr>
          <w:lang w:val="de-CH"/>
        </w:rPr>
      </w:pPr>
      <w:r w:rsidRPr="0021644B">
        <w:rPr>
          <w:lang w:val="de-CH"/>
        </w:rPr>
        <w:t>Der Verwaltungsrat bezeichnet eine Person, welche für die Umsetzung und Überwachung dieser Richtlinie verantwortlich ist.</w:t>
      </w:r>
    </w:p>
    <w:p w14:paraId="7218A66B" w14:textId="77777777" w:rsidR="00C97053" w:rsidRPr="0021644B" w:rsidRDefault="00966A5C">
      <w:pPr>
        <w:rPr>
          <w:lang w:val="de-CH"/>
        </w:rPr>
      </w:pPr>
      <w:r w:rsidRPr="0021644B">
        <w:rPr>
          <w:lang w:val="de-CH"/>
        </w:rPr>
        <w:t xml:space="preserve">Mit Wirkung ab </w:t>
      </w:r>
      <w:r w:rsidR="0021644B">
        <w:rPr>
          <w:lang w:val="de-CH"/>
        </w:rPr>
        <w:t>[</w:t>
      </w:r>
      <w:r w:rsidRPr="0021644B">
        <w:rPr>
          <w:lang w:val="de-CH"/>
        </w:rPr>
        <w:t>1. Juli 2026</w:t>
      </w:r>
      <w:r w:rsidR="0021644B">
        <w:rPr>
          <w:lang w:val="de-CH"/>
        </w:rPr>
        <w:t>]</w:t>
      </w:r>
      <w:r w:rsidRPr="0021644B">
        <w:rPr>
          <w:lang w:val="de-CH"/>
        </w:rPr>
        <w:t xml:space="preserve"> überträgt der Verwaltungsrat die Funktion des KI-Verantwortlichen an Herrn/Frau [Name].</w:t>
      </w:r>
    </w:p>
    <w:p w14:paraId="36B5531A" w14:textId="77777777" w:rsidR="00C97053" w:rsidRPr="0021644B" w:rsidRDefault="00966A5C">
      <w:pPr>
        <w:rPr>
          <w:lang w:val="de-CH"/>
        </w:rPr>
      </w:pPr>
      <w:r w:rsidRPr="0021644B">
        <w:rPr>
          <w:lang w:val="de-CH"/>
        </w:rPr>
        <w:t>Der KI-Verantwortliche setzt diese Richtlinie operativ um, führt das Inventar der verwendeten Anwendungen künstlicher Intelligenz, sorgt für Schulung und technische Unterstützung, beurteilt besondere Risiken und berichtet dem Verwaltungsrat mindestens einmal jährlich über Umsetzung, Einhaltung und Anpassungsbedarf dieser Richtlinie.</w:t>
      </w:r>
    </w:p>
    <w:p w14:paraId="6541EC6D" w14:textId="77777777" w:rsidR="00C97053" w:rsidRPr="0021644B" w:rsidRDefault="00966A5C">
      <w:pPr>
        <w:rPr>
          <w:lang w:val="de-CH"/>
        </w:rPr>
      </w:pPr>
      <w:r w:rsidRPr="0021644B">
        <w:rPr>
          <w:lang w:val="de-CH"/>
        </w:rPr>
        <w:t>Besondere Vorkommnisse meldet der KI-Verantwortliche ohne Verzug direkt dem Präsidenten des Verwaltungsrates. Dazu gehören insbesondere mögliche Datenschutzverletzungen, die Eingabe vertraulicher oder hochsensibler Daten in nicht freigegebene Systeme, Verdacht auf Cyberangriffe sowie erhebliche Fehlleistungen von Anwendungen künstlicher Intelligenz.</w:t>
      </w:r>
    </w:p>
    <w:p w14:paraId="2D180597"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4. Inventar und Freigabe verwendeter Anwendungen künstlicher Intelligenz</w:t>
      </w:r>
    </w:p>
    <w:p w14:paraId="0D9B2C3A" w14:textId="77777777" w:rsidR="00C97053" w:rsidRPr="0021644B" w:rsidRDefault="00966A5C">
      <w:pPr>
        <w:rPr>
          <w:lang w:val="de-CH"/>
        </w:rPr>
      </w:pPr>
      <w:r w:rsidRPr="0021644B">
        <w:rPr>
          <w:lang w:val="de-CH"/>
        </w:rPr>
        <w:t xml:space="preserve">Der KI-Verantwortliche inventarisiert die innerhalb der </w:t>
      </w:r>
      <w:r w:rsidR="0021644B">
        <w:rPr>
          <w:lang w:val="de-CH"/>
        </w:rPr>
        <w:t>Gesellschaft</w:t>
      </w:r>
      <w:r w:rsidRPr="0021644B">
        <w:rPr>
          <w:lang w:val="de-CH"/>
        </w:rPr>
        <w:t xml:space="preserve"> verwendeten Anwendungen künstlicher Intelligenz. Er erfasst insbesondere Chatbots, Übersetzungs- und Textsysteme, Rechercheanwendungen, Bild-, Audio- und Videogeneratoren, automatisierte mehrstufige Arbeitsabläufe sowie Funktionen künstlicher Intelligenz in bestehenden Anwendungen, zum Beispiel in Microsoft 365, Kundenverwaltungs-, Dokumentenverwaltungs- oder Buchhaltungssystemen.</w:t>
      </w:r>
    </w:p>
    <w:p w14:paraId="14FC73A8" w14:textId="4C94553A" w:rsidR="00C97053" w:rsidRPr="0021644B" w:rsidRDefault="00966A5C">
      <w:pPr>
        <w:rPr>
          <w:lang w:val="de-CH"/>
        </w:rPr>
      </w:pPr>
      <w:r w:rsidRPr="0021644B">
        <w:rPr>
          <w:lang w:val="de-CH"/>
        </w:rPr>
        <w:t xml:space="preserve">Der KI-Verantwortliche klärt auch, ob Mitarbeiter private Benutzerkonten zur Unterstützung ihrer Tätigkeit für die </w:t>
      </w:r>
      <w:r w:rsidR="0021644B">
        <w:rPr>
          <w:lang w:val="de-CH"/>
        </w:rPr>
        <w:t>Gesellschaft</w:t>
      </w:r>
      <w:r w:rsidRPr="0021644B">
        <w:rPr>
          <w:lang w:val="de-CH"/>
        </w:rPr>
        <w:t xml:space="preserve"> verwenden. Soweit dies der Fall ist, beurteilt er, ob diese Nutzung zulässig oder zu untersagen beziehungsweise in eine freigegebene Unternehmenslösung zu überführen ist.</w:t>
      </w:r>
    </w:p>
    <w:p w14:paraId="33EDAB8E" w14:textId="77777777" w:rsidR="00C97053" w:rsidRPr="0021644B" w:rsidRDefault="00966A5C">
      <w:pPr>
        <w:rPr>
          <w:lang w:val="de-CH"/>
        </w:rPr>
      </w:pPr>
      <w:r w:rsidRPr="0021644B">
        <w:rPr>
          <w:lang w:val="de-CH"/>
        </w:rPr>
        <w:t xml:space="preserve">Die erfassten Anwendungen werden durch den KI-Verantwortlichen auf ihre Eignung für die </w:t>
      </w:r>
      <w:r w:rsidR="0021644B">
        <w:rPr>
          <w:lang w:val="de-CH"/>
        </w:rPr>
        <w:t>Gesellschaft</w:t>
      </w:r>
      <w:r w:rsidRPr="0021644B">
        <w:rPr>
          <w:lang w:val="de-CH"/>
        </w:rPr>
        <w:t xml:space="preserve"> geprüft. Dabei sind insbesondere Nutzen, Effizienz, Kosten, Datensicherheit, Datenschutz, Wahrung von Geschäftsgeheimnissen, Vertragsbedingungen, Speicherort, Zugriffsmöglichkeiten des Anbieters und Verwendung von Eingaben zu Trainingszwecken zu berücksichtigen.</w:t>
      </w:r>
    </w:p>
    <w:p w14:paraId="3FDB30EA" w14:textId="24746334" w:rsidR="00C97053" w:rsidRPr="0021644B" w:rsidRDefault="00966A5C">
      <w:pPr>
        <w:rPr>
          <w:lang w:val="de-CH"/>
        </w:rPr>
      </w:pPr>
      <w:r w:rsidRPr="0021644B">
        <w:rPr>
          <w:lang w:val="de-CH"/>
        </w:rPr>
        <w:lastRenderedPageBreak/>
        <w:t xml:space="preserve">Der KI-Verantwortliche definiert, welche Anwendungen künftig verwendet werden dürfen, für welche Zwecke sie freigegeben sind, welche Datenkategorien </w:t>
      </w:r>
      <w:proofErr w:type="gramStart"/>
      <w:r w:rsidRPr="0021644B">
        <w:rPr>
          <w:lang w:val="de-CH"/>
        </w:rPr>
        <w:t>eingegeben werden dürfen</w:t>
      </w:r>
      <w:proofErr w:type="gramEnd"/>
      <w:r w:rsidRPr="0021644B">
        <w:rPr>
          <w:lang w:val="de-CH"/>
        </w:rPr>
        <w:t xml:space="preserve"> und welcher Benutzerkreis zugelassen ist. Die Freigaben werden in einer Tabelle dokumentiert, die als </w:t>
      </w:r>
      <w:r w:rsidRPr="0021644B">
        <w:rPr>
          <w:color w:val="C5A059"/>
          <w:u w:val="single"/>
          <w:lang w:val="de-CH"/>
        </w:rPr>
        <w:t>Anhang 1</w:t>
      </w:r>
      <w:r w:rsidRPr="0021644B">
        <w:rPr>
          <w:lang w:val="de-CH"/>
        </w:rPr>
        <w:t xml:space="preserve"> </w:t>
      </w:r>
      <w:r w:rsidR="00114CFB">
        <w:rPr>
          <w:lang w:val="de-CH"/>
        </w:rPr>
        <w:t xml:space="preserve">einen </w:t>
      </w:r>
      <w:r w:rsidRPr="0021644B">
        <w:rPr>
          <w:lang w:val="de-CH"/>
        </w:rPr>
        <w:t>Bestandteil dieser Richtlinie bildet</w:t>
      </w:r>
      <w:r w:rsidR="0021644B">
        <w:rPr>
          <w:lang w:val="de-CH"/>
        </w:rPr>
        <w:t xml:space="preserve"> und laufend aktualisiert wird.</w:t>
      </w:r>
    </w:p>
    <w:p w14:paraId="56F0620A"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5. Schutz von Geschäftsgeheimnissen und Datenklassifikation</w:t>
      </w:r>
    </w:p>
    <w:p w14:paraId="5EEDFC16" w14:textId="77777777" w:rsidR="0021644B" w:rsidRDefault="0021644B">
      <w:pPr>
        <w:rPr>
          <w:b/>
          <w:bCs/>
          <w:lang w:val="de-CH"/>
        </w:rPr>
      </w:pPr>
    </w:p>
    <w:p w14:paraId="6AECCBC1" w14:textId="77777777" w:rsidR="0021644B" w:rsidRDefault="00966A5C">
      <w:pPr>
        <w:pStyle w:val="DataClassification"/>
        <w:pBdr>
          <w:left w:val="single" w:sz="16" w:space="4" w:color="C5A059"/>
        </w:pBdr>
        <w:shd w:val="clear" w:color="auto" w:fill="514236"/>
        <w:rPr>
          <w:lang w:val="de-CH"/>
        </w:rPr>
      </w:pPr>
      <w:r w:rsidRPr="0021644B">
        <w:rPr>
          <w:bCs/>
          <w:color w:val="FFFFFF"/>
          <w:lang w:val="de-CH"/>
        </w:rPr>
        <w:t>Hochsensible Daten</w:t>
      </w:r>
      <w:r w:rsidRPr="0021644B">
        <w:rPr>
          <w:color w:val="FFFFFF"/>
          <w:lang w:val="de-CH"/>
        </w:rPr>
        <w:t xml:space="preserve"> </w:t>
      </w:r>
    </w:p>
    <w:p w14:paraId="19519D4F" w14:textId="77777777" w:rsidR="0021644B" w:rsidRDefault="0021644B">
      <w:pPr>
        <w:rPr>
          <w:lang w:val="de-CH"/>
        </w:rPr>
      </w:pPr>
      <w:r w:rsidRPr="0021644B">
        <w:rPr>
          <w:lang w:val="de-CH"/>
        </w:rPr>
        <w:t xml:space="preserve">Als hochsensible Daten gelten insbesondere Passwörter, Zugangscodes, private Schlüssel, Authentifizierungsinformationen, nicht anonymisierte besondere Personendaten, besonders </w:t>
      </w:r>
      <w:r>
        <w:rPr>
          <w:lang w:val="de-CH"/>
        </w:rPr>
        <w:t xml:space="preserve">schützenswerte </w:t>
      </w:r>
      <w:r w:rsidRPr="0021644B">
        <w:rPr>
          <w:lang w:val="de-CH"/>
        </w:rPr>
        <w:t>Personaldaten, Daten zu laufenden Rechtsstreitigkeiten, nicht veröffentlichte strategische Entscheidungen, besonders schutzbedürftige Kunden- oder Mandatsinformationen sowie Informationen, deren Offenlegung einen erheblichen Schaden für die Gesellschaft, ihre Kunden oder Dritte verursachen könnte.</w:t>
      </w:r>
    </w:p>
    <w:p w14:paraId="6B0C8C47" w14:textId="77777777" w:rsidR="00C97053" w:rsidRPr="0021644B" w:rsidRDefault="0021644B">
      <w:pPr>
        <w:rPr>
          <w:lang w:val="de-CH"/>
        </w:rPr>
      </w:pPr>
      <w:r>
        <w:rPr>
          <w:lang w:val="de-CH"/>
        </w:rPr>
        <w:t xml:space="preserve">Hochsensible Daten </w:t>
      </w:r>
      <w:r w:rsidR="00966A5C" w:rsidRPr="0021644B">
        <w:rPr>
          <w:lang w:val="de-CH"/>
        </w:rPr>
        <w:t>dürfen nicht in Anwendungen künstlicher Intelligenz eingegeben oder diesen sonst zugänglich gemacht werden, sofern der Verwaltungsrat oder der KI-Verantwortliche im Einzelfall keine ausdrückliche Freigabe erteilt hat.</w:t>
      </w:r>
    </w:p>
    <w:p w14:paraId="5B6E82EB" w14:textId="77777777" w:rsidR="0021644B" w:rsidRDefault="00966A5C">
      <w:pPr>
        <w:pStyle w:val="DataClassification"/>
        <w:pBdr>
          <w:left w:val="single" w:sz="16" w:space="4" w:color="C5A059"/>
        </w:pBdr>
        <w:shd w:val="clear" w:color="auto" w:fill="E8D3A8"/>
        <w:rPr>
          <w:lang w:val="de-CH"/>
        </w:rPr>
      </w:pPr>
      <w:r w:rsidRPr="0021644B">
        <w:rPr>
          <w:bCs/>
          <w:color w:val="321E12"/>
          <w:lang w:val="de-CH"/>
        </w:rPr>
        <w:t>Vertrauliche Daten</w:t>
      </w:r>
      <w:r w:rsidRPr="0021644B">
        <w:rPr>
          <w:color w:val="321E12"/>
          <w:lang w:val="de-CH"/>
        </w:rPr>
        <w:t xml:space="preserve"> </w:t>
      </w:r>
    </w:p>
    <w:p w14:paraId="39A14644" w14:textId="77777777" w:rsidR="0021644B" w:rsidRDefault="0021644B">
      <w:pPr>
        <w:rPr>
          <w:lang w:val="de-CH"/>
        </w:rPr>
      </w:pPr>
      <w:r w:rsidRPr="0021644B">
        <w:rPr>
          <w:lang w:val="de-CH"/>
        </w:rPr>
        <w:t>Zu den vertraulichen Daten gehören insbesondere Kunden- und Mandatslisten, Falldossiers, Verträge, Protokolle, Personendaten, Personaldaten, Finanzdaten, Preis- und Margeninformationen, nicht veröffentlichte Geschäftspläne, Entwicklungsinformationen, Lieferantendaten und Geschäftsgeheimnisse.</w:t>
      </w:r>
    </w:p>
    <w:p w14:paraId="7B1170D2" w14:textId="77777777" w:rsidR="00C97053" w:rsidRPr="0021644B" w:rsidRDefault="006F49FF">
      <w:pPr>
        <w:rPr>
          <w:lang w:val="de-CH"/>
        </w:rPr>
      </w:pPr>
      <w:r>
        <w:rPr>
          <w:lang w:val="de-CH"/>
        </w:rPr>
        <w:t xml:space="preserve">Vertrauliche Daten </w:t>
      </w:r>
      <w:r w:rsidR="00966A5C" w:rsidRPr="0021644B">
        <w:rPr>
          <w:lang w:val="de-CH"/>
        </w:rPr>
        <w:t>dürfen nur in freigegebene Anwendungen künstlicher Intelligenz eingegeben werden und grundsätzlich nur, wenn sie vorgängig anonymisiert oder pseudonymisiert wurden. Die Anonymisierung erfolgt fallbezogen durch Ersetzung von Namen, Firmenbezeichnungen, Adressen, Vertragsnummern und weiteren Identifikatoren durch neutrale Bezeichnungen oder Akronyme. Alternativ kann ein freigegebenes Anonymisierungswerkzeug verwendet werden.</w:t>
      </w:r>
    </w:p>
    <w:p w14:paraId="67222B7D" w14:textId="77777777" w:rsidR="00C97053" w:rsidRPr="0021644B" w:rsidRDefault="00966A5C">
      <w:pPr>
        <w:rPr>
          <w:lang w:val="de-CH"/>
        </w:rPr>
      </w:pPr>
      <w:r w:rsidRPr="0021644B">
        <w:rPr>
          <w:lang w:val="de-CH"/>
        </w:rPr>
        <w:t>Eine Eingabe vertraulicher Daten in Microsoft 365 Copilot oder vergleichbare Unternehmenslösungen ist nur zulässig, wenn diese Anwendung durch den KI-Verantwortlichen freigegeben wurde und vertraglich sowie technisch angemessene Sicherheiten bestehen, insbesondere betreffend Zugriffsschutz, Datenstandort, Protokollierung und Ausschluss der Verwendung von Eingaben für öffentliches Modelltraining.</w:t>
      </w:r>
    </w:p>
    <w:p w14:paraId="24EB3659" w14:textId="77777777" w:rsidR="006F49FF" w:rsidRDefault="00966A5C">
      <w:pPr>
        <w:pStyle w:val="DataClassification"/>
        <w:pBdr>
          <w:left w:val="single" w:sz="16" w:space="4" w:color="C5A059"/>
        </w:pBdr>
        <w:shd w:val="clear" w:color="auto" w:fill="E8EFED"/>
        <w:rPr>
          <w:bCs/>
          <w:lang w:val="de-CH"/>
        </w:rPr>
      </w:pPr>
      <w:r w:rsidRPr="0021644B">
        <w:rPr>
          <w:bCs/>
          <w:color w:val="2B4742"/>
          <w:lang w:val="de-CH"/>
        </w:rPr>
        <w:t>Öffentliche Informationen</w:t>
      </w:r>
    </w:p>
    <w:p w14:paraId="6E90C94C" w14:textId="77777777" w:rsidR="00C97053" w:rsidRPr="0021644B" w:rsidRDefault="006F49FF">
      <w:pPr>
        <w:rPr>
          <w:lang w:val="de-CH"/>
        </w:rPr>
      </w:pPr>
      <w:r w:rsidRPr="00072D6E">
        <w:rPr>
          <w:lang w:val="de-CH"/>
        </w:rPr>
        <w:t>Zu den öffentlichen Informationen gehören interne Arbeitsunterlagen ohne Personendaten, ohne Kunden- oder Mandatsbezug und ohne Geschäftsgeheimnisse. Sie dürfen mit der notwendigen Vorsicht in freigegebene Anwendungen künstlicher Intelligenz eingegeben werden.</w:t>
      </w:r>
    </w:p>
    <w:p w14:paraId="43876810"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6. Verantwortung für Arbeitsergebnisse</w:t>
      </w:r>
    </w:p>
    <w:p w14:paraId="3CB0069A" w14:textId="77777777" w:rsidR="00C97053" w:rsidRPr="0021644B" w:rsidRDefault="00966A5C">
      <w:pPr>
        <w:rPr>
          <w:lang w:val="de-CH"/>
        </w:rPr>
      </w:pPr>
      <w:r w:rsidRPr="0021644B">
        <w:rPr>
          <w:lang w:val="de-CH"/>
        </w:rPr>
        <w:t>Ergebnisse aus Anwendungen künstlicher Intelligenz sind Arbeitsentwürfe. Sie dürfen nicht ungeprüft verwendet, versendet, veröffentlicht oder gegenüber Kunden, Behörden, Vertragspartnern oder Dritten als verbindlich dargestellt werden.</w:t>
      </w:r>
    </w:p>
    <w:p w14:paraId="47FA2526" w14:textId="77777777" w:rsidR="00C97053" w:rsidRPr="0021644B" w:rsidRDefault="00966A5C">
      <w:pPr>
        <w:rPr>
          <w:lang w:val="de-CH"/>
        </w:rPr>
      </w:pPr>
      <w:r w:rsidRPr="0021644B">
        <w:rPr>
          <w:lang w:val="de-CH"/>
        </w:rPr>
        <w:t>Der zuständige Mitarbeiter prüft Ergebnisse aus Anwendungen künstlicher Intelligenz kritisch auf Richtigkeit, Vollständigkeit, Quellenlage, Plausibilität, rechtliche Wirkung, Vertraulichkeit, Tonalität</w:t>
      </w:r>
      <w:r w:rsidR="006F49FF">
        <w:rPr>
          <w:lang w:val="de-CH"/>
        </w:rPr>
        <w:t xml:space="preserve">, stilistische und graphische Darstellung </w:t>
      </w:r>
      <w:r w:rsidRPr="0021644B">
        <w:rPr>
          <w:lang w:val="de-CH"/>
        </w:rPr>
        <w:t xml:space="preserve">und Übereinstimmung mit den Vorgaben der </w:t>
      </w:r>
      <w:r w:rsidR="0021644B">
        <w:rPr>
          <w:lang w:val="de-CH"/>
        </w:rPr>
        <w:t>Gesellschaft</w:t>
      </w:r>
      <w:r w:rsidRPr="0021644B">
        <w:rPr>
          <w:lang w:val="de-CH"/>
        </w:rPr>
        <w:t>.</w:t>
      </w:r>
    </w:p>
    <w:p w14:paraId="62700F86" w14:textId="77777777" w:rsidR="00C97053" w:rsidRPr="0021644B" w:rsidRDefault="00966A5C">
      <w:pPr>
        <w:rPr>
          <w:lang w:val="de-CH"/>
        </w:rPr>
      </w:pPr>
      <w:r w:rsidRPr="0021644B">
        <w:rPr>
          <w:lang w:val="de-CH"/>
        </w:rPr>
        <w:t>Die Verantwortung für das Arbeitsergebnis verbleibt uneingeschränkt bei der zuständigen natürlichen Person. Künstliche Intelligenz ersetzt weder fachliche Prüfung noch Führungsentscheid.</w:t>
      </w:r>
    </w:p>
    <w:p w14:paraId="00107707"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7. Vorgehen bei Vorfällen</w:t>
      </w:r>
    </w:p>
    <w:p w14:paraId="12B2F7E0" w14:textId="77777777" w:rsidR="006F49FF" w:rsidRDefault="006F49FF">
      <w:pPr>
        <w:rPr>
          <w:lang w:val="de-CH"/>
        </w:rPr>
      </w:pPr>
      <w:r w:rsidRPr="006F49FF">
        <w:rPr>
          <w:lang w:val="de-CH"/>
        </w:rPr>
        <w:t xml:space="preserve">Ein Vorfall liegt insbesondere vor, wenn vertrauliche oder hochsensible Informationen in eine nicht freigegebene Anwendung künstlicher Intelligenz eingegeben wurden, wenn solche Informationen Dritten zugänglich gemacht wurden oder wenn der Verdacht besteht, dass ein System manipuliert, missbräuchlich </w:t>
      </w:r>
      <w:r w:rsidRPr="006F49FF">
        <w:rPr>
          <w:lang w:val="de-CH"/>
        </w:rPr>
        <w:lastRenderedPageBreak/>
        <w:t>genutzt oder Ziel eines Cyberangriffs wurde. Ebenso als Vorfall gilt, wenn ein fehlerhaftes, ungeprüftes oder irreführendes Ergebnis künstlicher Intelligenz gegenüber Kunden, Behörden, Geschäftspartnern oder der Öffentlichkeit verwendet wurde oder verwendet werden könnte.</w:t>
      </w:r>
    </w:p>
    <w:p w14:paraId="76DC05EB" w14:textId="77777777" w:rsidR="00C97053" w:rsidRPr="0021644B" w:rsidRDefault="006F49FF">
      <w:pPr>
        <w:rPr>
          <w:lang w:val="de-CH"/>
        </w:rPr>
      </w:pPr>
      <w:r>
        <w:rPr>
          <w:lang w:val="de-CH"/>
        </w:rPr>
        <w:t xml:space="preserve">Bei solchen Vorfällen </w:t>
      </w:r>
      <w:r w:rsidR="00966A5C" w:rsidRPr="0021644B">
        <w:rPr>
          <w:lang w:val="de-CH"/>
        </w:rPr>
        <w:t>ist die betroffene Nutzung sofort zu stoppen. Der Sachverhalt ist soweit möglich zu sichern und unverzüglich dem KI-Verantwortlichen zu melden.</w:t>
      </w:r>
    </w:p>
    <w:p w14:paraId="71DC030B" w14:textId="34EA01F8" w:rsidR="00C97053" w:rsidRPr="0021644B" w:rsidRDefault="00966A5C">
      <w:pPr>
        <w:rPr>
          <w:lang w:val="de-CH"/>
        </w:rPr>
      </w:pPr>
      <w:r w:rsidRPr="0021644B">
        <w:rPr>
          <w:lang w:val="de-CH"/>
        </w:rPr>
        <w:t xml:space="preserve">Der KI-Verantwortliche beurteilt den Vorfall, zieht bei Bedarf interne oder externe Fachpersonen bei und prüft, ob Kunden, betroffene Personen, Vertragspartner, Versicherer, Behörden oder der </w:t>
      </w:r>
      <w:r w:rsidR="00146A86">
        <w:rPr>
          <w:lang w:val="de-CH"/>
        </w:rPr>
        <w:t>z</w:t>
      </w:r>
      <w:r w:rsidR="00146A86" w:rsidRPr="00146A86">
        <w:rPr>
          <w:lang w:val="de-CH"/>
        </w:rPr>
        <w:t>uständige Datenschutzaufsichtsbehörde bzw. je nach Kontext BfDI/Landesdatenschutzbehörde</w:t>
      </w:r>
      <w:r w:rsidRPr="0021644B">
        <w:rPr>
          <w:lang w:val="de-CH"/>
        </w:rPr>
        <w:t xml:space="preserve"> zu informieren sind.</w:t>
      </w:r>
    </w:p>
    <w:p w14:paraId="206DC298" w14:textId="75E3C6E4" w:rsidR="00C97053" w:rsidRPr="0021644B" w:rsidRDefault="00966A5C">
      <w:pPr>
        <w:rPr>
          <w:lang w:val="de-CH"/>
        </w:rPr>
      </w:pPr>
      <w:r w:rsidRPr="0021644B">
        <w:rPr>
          <w:lang w:val="de-CH"/>
        </w:rPr>
        <w:t>Der KI-Verantwortliche leitet angemessene Korrekturma</w:t>
      </w:r>
      <w:r w:rsidR="00114CFB">
        <w:rPr>
          <w:lang w:val="de-CH"/>
        </w:rPr>
        <w:t>ß</w:t>
      </w:r>
      <w:r w:rsidRPr="0021644B">
        <w:rPr>
          <w:lang w:val="de-CH"/>
        </w:rPr>
        <w:t>nahmen ein, dokumentiert Sachverhalt, Beurteilung, Entscheide und Ma</w:t>
      </w:r>
      <w:r w:rsidR="00114CFB">
        <w:rPr>
          <w:lang w:val="de-CH"/>
        </w:rPr>
        <w:t>ß</w:t>
      </w:r>
      <w:r w:rsidRPr="0021644B">
        <w:rPr>
          <w:lang w:val="de-CH"/>
        </w:rPr>
        <w:t>nahmen und berichtet bei erheblichen Vorfällen dem Präsidenten des Verwaltungsrates.</w:t>
      </w:r>
    </w:p>
    <w:p w14:paraId="2DCF15F7"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8. Schulung</w:t>
      </w:r>
    </w:p>
    <w:p w14:paraId="7C8A68E9" w14:textId="77777777" w:rsidR="00C97053" w:rsidRPr="0021644B" w:rsidRDefault="00966A5C">
      <w:pPr>
        <w:rPr>
          <w:lang w:val="de-CH"/>
        </w:rPr>
      </w:pPr>
      <w:r w:rsidRPr="0021644B">
        <w:rPr>
          <w:lang w:val="de-CH"/>
        </w:rPr>
        <w:t>Der KI-Verantwortliche organisiert eine stufengerechte Schulung aller Mitarbeiter über diese Richtlinie. Die Schulung behandelt insbesondere zulässige und unzulässige Anwendungen, Datenklassifikation, Anonymisierung, Prüfung von Ergebnissen, Vorfallmeldung und praktische Anwendungsbeispiele.</w:t>
      </w:r>
    </w:p>
    <w:p w14:paraId="64E7BE16" w14:textId="77777777" w:rsidR="00C97053" w:rsidRPr="0021644B" w:rsidRDefault="00966A5C">
      <w:pPr>
        <w:rPr>
          <w:lang w:val="de-CH"/>
        </w:rPr>
      </w:pPr>
      <w:r w:rsidRPr="0021644B">
        <w:rPr>
          <w:lang w:val="de-CH"/>
        </w:rPr>
        <w:t>Neue Mitarbeiter werden im Rahmen der Einführung über diese Richtlinie informiert. Bei wesentlichen Änderungen der Richtlinie oder der freigegebenen Anwendungen erfolgt eine erneute Instruktion der betroffenen Mitarbeiter.</w:t>
      </w:r>
    </w:p>
    <w:p w14:paraId="29742D2E" w14:textId="3E520B3E"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9. Technische und organisatorische Sicherungsma</w:t>
      </w:r>
      <w:r w:rsidR="00114CFB">
        <w:rPr>
          <w:rFonts w:ascii="Avenir Next" w:eastAsia="Avenir Next" w:hAnsi="Avenir Next" w:cs="Avenir Next"/>
          <w:lang w:val="de-CH"/>
        </w:rPr>
        <w:t>ß</w:t>
      </w:r>
      <w:r w:rsidRPr="0021644B">
        <w:rPr>
          <w:rFonts w:ascii="Avenir Next" w:eastAsia="Avenir Next" w:hAnsi="Avenir Next" w:cs="Avenir Next"/>
          <w:lang w:val="de-CH"/>
        </w:rPr>
        <w:t>nahmen</w:t>
      </w:r>
    </w:p>
    <w:p w14:paraId="68F619B9" w14:textId="77777777" w:rsidR="00C97053" w:rsidRPr="0021644B" w:rsidRDefault="00966A5C">
      <w:pPr>
        <w:rPr>
          <w:lang w:val="de-CH"/>
        </w:rPr>
      </w:pPr>
      <w:r w:rsidRPr="0021644B">
        <w:rPr>
          <w:lang w:val="de-CH"/>
        </w:rPr>
        <w:t>Der KI-Verantwortliche prüft mit geeigneter Unterstützung, insbesondere durch den internen oder externen Informatikpartner, wie die Einhaltung dieser Richtlinie technisch unterstützt werden kann.</w:t>
      </w:r>
    </w:p>
    <w:p w14:paraId="4445AA25" w14:textId="77777777" w:rsidR="00C97053" w:rsidRPr="0021644B" w:rsidRDefault="00966A5C">
      <w:pPr>
        <w:rPr>
          <w:lang w:val="de-CH"/>
        </w:rPr>
      </w:pPr>
      <w:r w:rsidRPr="0021644B">
        <w:rPr>
          <w:lang w:val="de-CH"/>
        </w:rPr>
        <w:t>Zu prüfen sind insbesondere Zugriffsberechtigungen, Sperrung nicht freigegebener Anwendungen, Protokollierung, Mehrfaktor-Authentifizierung, Datenverlustschutz, Einschränkung von Schnittstellen, sichere Konfiguration freigegebener Anwendungen sowie Beschränkung des Zugriffs auf besonders schutzwürdige Daten.</w:t>
      </w:r>
    </w:p>
    <w:p w14:paraId="3F9D2269" w14:textId="6C863172" w:rsidR="00C97053" w:rsidRPr="0021644B" w:rsidRDefault="00966A5C">
      <w:pPr>
        <w:rPr>
          <w:lang w:val="de-CH"/>
        </w:rPr>
      </w:pPr>
      <w:r w:rsidRPr="0021644B">
        <w:rPr>
          <w:lang w:val="de-CH"/>
        </w:rPr>
        <w:t>Die technischen Ma</w:t>
      </w:r>
      <w:r w:rsidR="00114CFB">
        <w:rPr>
          <w:lang w:val="de-CH"/>
        </w:rPr>
        <w:t>ß</w:t>
      </w:r>
      <w:r w:rsidRPr="0021644B">
        <w:rPr>
          <w:lang w:val="de-CH"/>
        </w:rPr>
        <w:t xml:space="preserve">nahmen sind so auszugestalten, dass sie die zulässige Nutzung künstlicher Intelligenz ermöglichen, Wildwuchs verhindern und den Schutz von Personendaten, Geschäftsgeheimnissen und Systemen der </w:t>
      </w:r>
      <w:r w:rsidR="0021644B">
        <w:rPr>
          <w:lang w:val="de-CH"/>
        </w:rPr>
        <w:t>Gesellschaft</w:t>
      </w:r>
      <w:r w:rsidRPr="0021644B">
        <w:rPr>
          <w:lang w:val="de-CH"/>
        </w:rPr>
        <w:t xml:space="preserve"> angemessen sicherstellen.</w:t>
      </w:r>
    </w:p>
    <w:p w14:paraId="0A3DEF3D"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10. Überprüfung und Aktualisierung</w:t>
      </w:r>
    </w:p>
    <w:p w14:paraId="050FA984" w14:textId="77777777" w:rsidR="00C97053" w:rsidRPr="0021644B" w:rsidRDefault="00966A5C">
      <w:pPr>
        <w:rPr>
          <w:lang w:val="de-CH"/>
        </w:rPr>
      </w:pPr>
      <w:r w:rsidRPr="0021644B">
        <w:rPr>
          <w:lang w:val="de-CH"/>
        </w:rPr>
        <w:t>Diese Richtlinie wird mindestens einmal jährlich durch den KI-Verantwortlichen überprüft. Dabei sind insbesondere neue Anwendungen, geänderte Anbieterbedingungen, neue Risiken, Vorfälle, Rückmeldungen der Mitarbeiter und regulatorische Entwicklungen zu berücksichtigen.</w:t>
      </w:r>
      <w:r w:rsidR="003E42FC">
        <w:rPr>
          <w:lang w:val="de-CH"/>
        </w:rPr>
        <w:t xml:space="preserve"> Der </w:t>
      </w:r>
      <w:r w:rsidR="003E42FC" w:rsidRPr="003E42FC">
        <w:rPr>
          <w:color w:val="C5A059"/>
          <w:u w:val="single"/>
          <w:lang w:val="de-CH"/>
        </w:rPr>
        <w:t>Anhang 1</w:t>
      </w:r>
      <w:r w:rsidR="003E42FC">
        <w:rPr>
          <w:lang w:val="de-CH"/>
        </w:rPr>
        <w:t xml:space="preserve"> ist zu aktualisieren. </w:t>
      </w:r>
    </w:p>
    <w:p w14:paraId="44E6E2D4" w14:textId="77777777" w:rsidR="00C97053" w:rsidRPr="0021644B" w:rsidRDefault="00966A5C">
      <w:pPr>
        <w:rPr>
          <w:lang w:val="de-CH"/>
        </w:rPr>
      </w:pPr>
      <w:r w:rsidRPr="0021644B">
        <w:rPr>
          <w:lang w:val="de-CH"/>
        </w:rPr>
        <w:t>Änderungen von grundsätzlicher Bedeutung werden dem Verwaltungsrat zur Genehmigung vorgelegt. Operative Anpassungen der Freigabetabelle im Anhang können durch den KI-Verantwortlichen vorgenommen werden, sofern der Verwaltungsrat nichts anderes beschliesst.</w:t>
      </w:r>
    </w:p>
    <w:p w14:paraId="6898A97E" w14:textId="77777777" w:rsidR="00C97053" w:rsidRPr="0021644B" w:rsidRDefault="00966A5C">
      <w:pPr>
        <w:pStyle w:val="Heading1"/>
        <w:pBdr>
          <w:left w:val="single" w:sz="18" w:space="7" w:color="C5A059"/>
        </w:pBdr>
        <w:ind w:left="142"/>
        <w:rPr>
          <w:lang w:val="de-CH"/>
        </w:rPr>
      </w:pPr>
      <w:r w:rsidRPr="0021644B">
        <w:rPr>
          <w:rFonts w:ascii="Avenir Next" w:eastAsia="Avenir Next" w:hAnsi="Avenir Next" w:cs="Avenir Next"/>
          <w:lang w:val="de-CH"/>
        </w:rPr>
        <w:t>11. Inkrafttreten</w:t>
      </w:r>
    </w:p>
    <w:p w14:paraId="43AB35BE" w14:textId="77777777" w:rsidR="00C97053" w:rsidRPr="0021644B" w:rsidRDefault="00966A5C">
      <w:pPr>
        <w:rPr>
          <w:lang w:val="de-CH"/>
        </w:rPr>
      </w:pPr>
      <w:r w:rsidRPr="0021644B">
        <w:rPr>
          <w:lang w:val="de-CH"/>
        </w:rPr>
        <w:t xml:space="preserve">Diese Richtlinie tritt per </w:t>
      </w:r>
      <w:r w:rsidR="003E42FC">
        <w:rPr>
          <w:lang w:val="de-CH"/>
        </w:rPr>
        <w:t>[</w:t>
      </w:r>
      <w:r w:rsidRPr="0021644B">
        <w:rPr>
          <w:lang w:val="de-CH"/>
        </w:rPr>
        <w:t>1. Juli 2026</w:t>
      </w:r>
      <w:r w:rsidR="003E42FC">
        <w:rPr>
          <w:lang w:val="de-CH"/>
        </w:rPr>
        <w:t>]</w:t>
      </w:r>
      <w:r w:rsidRPr="0021644B">
        <w:rPr>
          <w:lang w:val="de-CH"/>
        </w:rPr>
        <w:t xml:space="preserve"> in Kraft. Sie ersetzt alle früheren internen Weisungen, soweit diese den Einsatz künstlicher Intelligenz betreffen.</w:t>
      </w:r>
    </w:p>
    <w:p w14:paraId="1A39943D" w14:textId="0B8ED370" w:rsidR="00C97053" w:rsidRPr="003E42FC" w:rsidRDefault="00966A5C">
      <w:pPr>
        <w:keepLines/>
        <w:pBdr>
          <w:left w:val="single" w:sz="18" w:space="6" w:color="C5A059"/>
        </w:pBdr>
        <w:shd w:val="clear" w:color="auto" w:fill="F7F3ED"/>
        <w:spacing w:before="140" w:after="120"/>
        <w:rPr>
          <w:bCs/>
          <w:i/>
          <w:iCs/>
          <w:lang w:val="de-CH"/>
        </w:rPr>
      </w:pPr>
      <w:r w:rsidRPr="003E42FC">
        <w:rPr>
          <w:bCs/>
          <w:i/>
          <w:iCs/>
          <w:lang w:val="de-CH"/>
        </w:rPr>
        <w:t xml:space="preserve">Beschlossen durch den Verwaltungsrat der </w:t>
      </w:r>
      <w:r w:rsidR="00146A86" w:rsidRPr="00146A86">
        <w:rPr>
          <w:bCs/>
          <w:i/>
          <w:iCs/>
          <w:lang w:val="de-CH"/>
        </w:rPr>
        <w:t>Muster</w:t>
      </w:r>
      <w:r w:rsidR="00146A86" w:rsidRPr="00146A86">
        <w:rPr>
          <w:bCs/>
          <w:i/>
          <w:iCs/>
          <w:lang w:val="de-CH"/>
        </w:rPr>
        <w:t xml:space="preserve"> </w:t>
      </w:r>
      <w:r w:rsidRPr="00146A86">
        <w:rPr>
          <w:bCs/>
          <w:i/>
          <w:iCs/>
          <w:lang w:val="de-CH"/>
        </w:rPr>
        <w:t>AG am</w:t>
      </w:r>
      <w:r w:rsidRPr="003E42FC">
        <w:rPr>
          <w:bCs/>
          <w:i/>
          <w:iCs/>
          <w:lang w:val="de-CH"/>
        </w:rPr>
        <w:t>: [Datum]</w:t>
      </w:r>
    </w:p>
    <w:p w14:paraId="2DF8B650" w14:textId="77777777" w:rsidR="00C97053" w:rsidRPr="0021644B" w:rsidRDefault="00C97053">
      <w:pPr>
        <w:rPr>
          <w:lang w:val="de-CH"/>
        </w:rPr>
        <w:sectPr w:rsidR="00C97053" w:rsidRPr="0021644B">
          <w:headerReference w:type="default" r:id="rId11"/>
          <w:footerReference w:type="default" r:id="rId12"/>
          <w:headerReference w:type="first" r:id="rId13"/>
          <w:footerReference w:type="first" r:id="rId14"/>
          <w:pgSz w:w="11906" w:h="16838"/>
          <w:pgMar w:top="907" w:right="1020" w:bottom="879" w:left="1020" w:header="397" w:footer="369" w:gutter="0"/>
          <w:cols w:space="720"/>
          <w:titlePg/>
          <w:docGrid w:linePitch="360"/>
        </w:sectPr>
      </w:pPr>
    </w:p>
    <w:p w14:paraId="3976DFD9" w14:textId="77777777" w:rsidR="00C97053" w:rsidRPr="0021644B" w:rsidRDefault="00966A5C">
      <w:pPr>
        <w:pStyle w:val="Heading1"/>
        <w:pBdr>
          <w:left w:val="single" w:sz="18" w:space="7" w:color="C5A059"/>
        </w:pBdr>
        <w:spacing w:before="60"/>
        <w:ind w:left="142"/>
        <w:rPr>
          <w:lang w:val="de-CH"/>
        </w:rPr>
      </w:pPr>
      <w:r w:rsidRPr="0021644B">
        <w:rPr>
          <w:rFonts w:ascii="Avenir Next" w:eastAsia="Avenir Next" w:hAnsi="Avenir Next" w:cs="Avenir Next"/>
          <w:lang w:val="de-CH"/>
        </w:rPr>
        <w:lastRenderedPageBreak/>
        <w:t>Anhang 1: Inventar und Freigabetabelle für Anwendungen künstlicher Intelligenz</w:t>
      </w:r>
    </w:p>
    <w:p w14:paraId="207657EF" w14:textId="77777777" w:rsidR="00C97053" w:rsidRPr="0021644B" w:rsidRDefault="00966A5C">
      <w:pPr>
        <w:spacing w:after="140"/>
        <w:rPr>
          <w:lang w:val="de-CH"/>
        </w:rPr>
      </w:pPr>
      <w:r w:rsidRPr="0021644B">
        <w:rPr>
          <w:lang w:val="de-CH"/>
        </w:rPr>
        <w:t>Die Tabelle ist durch den KI-Verantwortlichen zu führen und mindestens jährlich zu aktualisieren. Beispiel- und Platzhalterangaben sind vor Verwendung zu prüfen und anzupassen.</w:t>
      </w:r>
    </w:p>
    <w:tbl>
      <w:tblPr>
        <w:tblStyle w:val="TableGrid"/>
        <w:tblW w:w="14900" w:type="dxa"/>
        <w:jc w:val="center"/>
        <w:tblLayout w:type="fixed"/>
        <w:tblLook w:val="04A0" w:firstRow="1" w:lastRow="0" w:firstColumn="1" w:lastColumn="0" w:noHBand="0" w:noVBand="1"/>
      </w:tblPr>
      <w:tblGrid>
        <w:gridCol w:w="2500"/>
        <w:gridCol w:w="2200"/>
        <w:gridCol w:w="2800"/>
        <w:gridCol w:w="2800"/>
        <w:gridCol w:w="2100"/>
        <w:gridCol w:w="2500"/>
      </w:tblGrid>
      <w:tr w:rsidR="00C97053" w14:paraId="59C19C15" w14:textId="77777777">
        <w:trPr>
          <w:tblHeader/>
          <w:jc w:val="center"/>
        </w:trPr>
        <w:tc>
          <w:tcPr>
            <w:tcW w:w="25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771825F7" w14:textId="77777777" w:rsidR="00C97053" w:rsidRDefault="00966A5C">
            <w:pPr>
              <w:spacing w:after="30" w:line="247" w:lineRule="auto"/>
            </w:pPr>
            <w:proofErr w:type="spellStart"/>
            <w:r>
              <w:rPr>
                <w:rFonts w:ascii="Avenir Next" w:eastAsia="Avenir Next" w:hAnsi="Avenir Next" w:cs="Avenir Next"/>
                <w:b/>
                <w:color w:val="FFFFFF"/>
                <w:sz w:val="16"/>
              </w:rPr>
              <w:t>Anwendung</w:t>
            </w:r>
            <w:proofErr w:type="spellEnd"/>
          </w:p>
        </w:tc>
        <w:tc>
          <w:tcPr>
            <w:tcW w:w="22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74757322" w14:textId="77777777" w:rsidR="00C97053" w:rsidRDefault="00966A5C">
            <w:pPr>
              <w:spacing w:after="30" w:line="247" w:lineRule="auto"/>
            </w:pPr>
            <w:proofErr w:type="spellStart"/>
            <w:r>
              <w:rPr>
                <w:rFonts w:ascii="Avenir Next" w:eastAsia="Avenir Next" w:hAnsi="Avenir Next" w:cs="Avenir Next"/>
                <w:b/>
                <w:color w:val="FFFFFF"/>
                <w:sz w:val="16"/>
              </w:rPr>
              <w:t>Anbieter</w:t>
            </w:r>
            <w:proofErr w:type="spellEnd"/>
            <w:r>
              <w:rPr>
                <w:rFonts w:ascii="Avenir Next" w:eastAsia="Avenir Next" w:hAnsi="Avenir Next" w:cs="Avenir Next"/>
                <w:b/>
                <w:color w:val="FFFFFF"/>
                <w:sz w:val="16"/>
              </w:rPr>
              <w:t xml:space="preserve"> / Version</w:t>
            </w:r>
          </w:p>
        </w:tc>
        <w:tc>
          <w:tcPr>
            <w:tcW w:w="28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58CEC9AC" w14:textId="77777777" w:rsidR="00C97053" w:rsidRDefault="00966A5C">
            <w:pPr>
              <w:spacing w:after="30" w:line="247" w:lineRule="auto"/>
            </w:pPr>
            <w:proofErr w:type="spellStart"/>
            <w:r>
              <w:rPr>
                <w:rFonts w:ascii="Avenir Next" w:eastAsia="Avenir Next" w:hAnsi="Avenir Next" w:cs="Avenir Next"/>
                <w:b/>
                <w:color w:val="FFFFFF"/>
                <w:sz w:val="16"/>
              </w:rPr>
              <w:t>Zulässige</w:t>
            </w:r>
            <w:proofErr w:type="spellEnd"/>
            <w:r>
              <w:rPr>
                <w:rFonts w:ascii="Avenir Next" w:eastAsia="Avenir Next" w:hAnsi="Avenir Next" w:cs="Avenir Next"/>
                <w:b/>
                <w:color w:val="FFFFFF"/>
                <w:sz w:val="16"/>
              </w:rPr>
              <w:t xml:space="preserve"> </w:t>
            </w:r>
            <w:proofErr w:type="spellStart"/>
            <w:r>
              <w:rPr>
                <w:rFonts w:ascii="Avenir Next" w:eastAsia="Avenir Next" w:hAnsi="Avenir Next" w:cs="Avenir Next"/>
                <w:b/>
                <w:color w:val="FFFFFF"/>
                <w:sz w:val="16"/>
              </w:rPr>
              <w:t>Zwecke</w:t>
            </w:r>
            <w:proofErr w:type="spellEnd"/>
          </w:p>
        </w:tc>
        <w:tc>
          <w:tcPr>
            <w:tcW w:w="28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101BC219" w14:textId="77777777" w:rsidR="00C97053" w:rsidRDefault="00966A5C">
            <w:pPr>
              <w:spacing w:after="30" w:line="247" w:lineRule="auto"/>
            </w:pPr>
            <w:proofErr w:type="spellStart"/>
            <w:r>
              <w:rPr>
                <w:rFonts w:ascii="Avenir Next" w:eastAsia="Avenir Next" w:hAnsi="Avenir Next" w:cs="Avenir Next"/>
                <w:b/>
                <w:color w:val="FFFFFF"/>
                <w:sz w:val="16"/>
              </w:rPr>
              <w:t>Zulässige</w:t>
            </w:r>
            <w:proofErr w:type="spellEnd"/>
            <w:r>
              <w:rPr>
                <w:rFonts w:ascii="Avenir Next" w:eastAsia="Avenir Next" w:hAnsi="Avenir Next" w:cs="Avenir Next"/>
                <w:b/>
                <w:color w:val="FFFFFF"/>
                <w:sz w:val="16"/>
              </w:rPr>
              <w:t xml:space="preserve"> </w:t>
            </w:r>
            <w:proofErr w:type="spellStart"/>
            <w:r>
              <w:rPr>
                <w:rFonts w:ascii="Avenir Next" w:eastAsia="Avenir Next" w:hAnsi="Avenir Next" w:cs="Avenir Next"/>
                <w:b/>
                <w:color w:val="FFFFFF"/>
                <w:sz w:val="16"/>
              </w:rPr>
              <w:t>Daten</w:t>
            </w:r>
            <w:proofErr w:type="spellEnd"/>
          </w:p>
        </w:tc>
        <w:tc>
          <w:tcPr>
            <w:tcW w:w="21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13F2012B" w14:textId="77777777" w:rsidR="00C97053" w:rsidRDefault="00966A5C">
            <w:pPr>
              <w:spacing w:after="30" w:line="247" w:lineRule="auto"/>
            </w:pPr>
            <w:proofErr w:type="spellStart"/>
            <w:r>
              <w:rPr>
                <w:rFonts w:ascii="Avenir Next" w:eastAsia="Avenir Next" w:hAnsi="Avenir Next" w:cs="Avenir Next"/>
                <w:b/>
                <w:color w:val="FFFFFF"/>
                <w:sz w:val="16"/>
              </w:rPr>
              <w:t>Benutzerkreis</w:t>
            </w:r>
            <w:proofErr w:type="spellEnd"/>
          </w:p>
        </w:tc>
        <w:tc>
          <w:tcPr>
            <w:tcW w:w="2500" w:type="dxa"/>
            <w:tcBorders>
              <w:top w:val="single" w:sz="8" w:space="0" w:color="C5A059"/>
              <w:left w:val="single" w:sz="8" w:space="0" w:color="C5A059"/>
              <w:bottom w:val="single" w:sz="8" w:space="0" w:color="C5A059"/>
              <w:right w:val="single" w:sz="8" w:space="0" w:color="C5A059"/>
            </w:tcBorders>
            <w:shd w:val="clear" w:color="auto" w:fill="514236"/>
            <w:tcMar>
              <w:top w:w="95" w:type="dxa"/>
              <w:left w:w="105" w:type="dxa"/>
              <w:bottom w:w="95" w:type="dxa"/>
              <w:right w:w="105" w:type="dxa"/>
            </w:tcMar>
            <w:vAlign w:val="center"/>
          </w:tcPr>
          <w:p w14:paraId="4623780E" w14:textId="77777777" w:rsidR="00C97053" w:rsidRDefault="00966A5C">
            <w:pPr>
              <w:spacing w:after="30" w:line="247" w:lineRule="auto"/>
            </w:pPr>
            <w:proofErr w:type="spellStart"/>
            <w:r>
              <w:rPr>
                <w:rFonts w:ascii="Avenir Next" w:eastAsia="Avenir Next" w:hAnsi="Avenir Next" w:cs="Avenir Next"/>
                <w:b/>
                <w:color w:val="FFFFFF"/>
                <w:sz w:val="16"/>
              </w:rPr>
              <w:t>Auflagen</w:t>
            </w:r>
            <w:proofErr w:type="spellEnd"/>
            <w:r>
              <w:rPr>
                <w:rFonts w:ascii="Avenir Next" w:eastAsia="Avenir Next" w:hAnsi="Avenir Next" w:cs="Avenir Next"/>
                <w:b/>
                <w:color w:val="FFFFFF"/>
                <w:sz w:val="16"/>
              </w:rPr>
              <w:t xml:space="preserve"> / Status</w:t>
            </w:r>
          </w:p>
        </w:tc>
      </w:tr>
      <w:tr w:rsidR="00C97053" w14:paraId="0135653E"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738DBA27" w14:textId="77777777" w:rsidR="00C97053" w:rsidRDefault="00966A5C">
            <w:pPr>
              <w:spacing w:after="30" w:line="247" w:lineRule="auto"/>
            </w:pPr>
            <w:r>
              <w:rPr>
                <w:sz w:val="17"/>
              </w:rPr>
              <w:t>[z. B. Microsoft 365 Copilot]</w:t>
            </w:r>
          </w:p>
        </w:tc>
        <w:tc>
          <w:tcPr>
            <w:tcW w:w="22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1F2B52EC" w14:textId="425ABD57" w:rsidR="00C97053" w:rsidRPr="0021644B" w:rsidRDefault="00966A5C">
            <w:pPr>
              <w:spacing w:after="30" w:line="247" w:lineRule="auto"/>
              <w:rPr>
                <w:lang w:val="de-CH"/>
              </w:rPr>
            </w:pPr>
            <w:r w:rsidRPr="0021644B">
              <w:rPr>
                <w:sz w:val="17"/>
                <w:lang w:val="de-CH"/>
              </w:rPr>
              <w:t>[</w:t>
            </w:r>
            <w:r w:rsidRPr="00146A86">
              <w:rPr>
                <w:sz w:val="17"/>
                <w:lang w:val="de-CH"/>
              </w:rPr>
              <w:t xml:space="preserve">Microsoft / Tenant der </w:t>
            </w:r>
            <w:r w:rsidR="00146A86" w:rsidRPr="00146A86">
              <w:rPr>
                <w:sz w:val="17"/>
                <w:lang w:val="de-CH"/>
              </w:rPr>
              <w:t xml:space="preserve">Muster </w:t>
            </w:r>
            <w:r w:rsidRPr="00146A86">
              <w:rPr>
                <w:sz w:val="17"/>
                <w:lang w:val="de-CH"/>
              </w:rPr>
              <w:t>AG]</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5C18D8A9" w14:textId="77777777" w:rsidR="00C97053" w:rsidRDefault="00966A5C">
            <w:pPr>
              <w:spacing w:after="30" w:line="247" w:lineRule="auto"/>
            </w:pPr>
            <w:proofErr w:type="spellStart"/>
            <w:r>
              <w:rPr>
                <w:sz w:val="17"/>
              </w:rPr>
              <w:t>Textentwürfe</w:t>
            </w:r>
            <w:proofErr w:type="spellEnd"/>
            <w:r>
              <w:rPr>
                <w:sz w:val="17"/>
              </w:rPr>
              <w:t xml:space="preserve">, </w:t>
            </w:r>
            <w:proofErr w:type="spellStart"/>
            <w:r>
              <w:rPr>
                <w:sz w:val="17"/>
              </w:rPr>
              <w:t>Zusammenfassungen</w:t>
            </w:r>
            <w:proofErr w:type="spellEnd"/>
            <w:r>
              <w:rPr>
                <w:sz w:val="17"/>
              </w:rPr>
              <w:t>, interne Recherche</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403CBCB0" w14:textId="2E1E7A9D" w:rsidR="00C97053" w:rsidRPr="0021644B" w:rsidRDefault="00966A5C">
            <w:pPr>
              <w:spacing w:after="30" w:line="247" w:lineRule="auto"/>
              <w:rPr>
                <w:lang w:val="de-CH"/>
              </w:rPr>
            </w:pPr>
            <w:r w:rsidRPr="0021644B">
              <w:rPr>
                <w:sz w:val="17"/>
                <w:lang w:val="de-CH"/>
              </w:rPr>
              <w:t>Gemä</w:t>
            </w:r>
            <w:r w:rsidR="00114CFB">
              <w:rPr>
                <w:sz w:val="17"/>
                <w:lang w:val="de-CH"/>
              </w:rPr>
              <w:t>ß</w:t>
            </w:r>
            <w:r w:rsidRPr="0021644B">
              <w:rPr>
                <w:sz w:val="17"/>
                <w:lang w:val="de-CH"/>
              </w:rPr>
              <w:t xml:space="preserve"> Freigabe; vertrauliche Daten nur nach Vorgaben</w:t>
            </w:r>
          </w:p>
        </w:tc>
        <w:tc>
          <w:tcPr>
            <w:tcW w:w="21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751F77FD" w14:textId="77777777" w:rsidR="00C97053" w:rsidRDefault="00966A5C">
            <w:pPr>
              <w:spacing w:after="30" w:line="247" w:lineRule="auto"/>
            </w:pPr>
            <w:r>
              <w:rPr>
                <w:sz w:val="17"/>
              </w:rPr>
              <w:t>[</w:t>
            </w:r>
            <w:proofErr w:type="spellStart"/>
            <w:r>
              <w:rPr>
                <w:sz w:val="17"/>
              </w:rPr>
              <w:t>Benutzerkreis</w:t>
            </w:r>
            <w:proofErr w:type="spellEnd"/>
            <w:r>
              <w:rPr>
                <w:sz w:val="17"/>
              </w:rPr>
              <w:t>]</w:t>
            </w:r>
          </w:p>
        </w:tc>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534B0CC3" w14:textId="77777777" w:rsidR="00C97053" w:rsidRDefault="00966A5C">
            <w:pPr>
              <w:spacing w:after="30" w:line="247" w:lineRule="auto"/>
            </w:pPr>
            <w:r>
              <w:rPr>
                <w:sz w:val="17"/>
              </w:rPr>
              <w:t>[</w:t>
            </w:r>
            <w:proofErr w:type="spellStart"/>
            <w:r>
              <w:rPr>
                <w:sz w:val="17"/>
              </w:rPr>
              <w:t>freigegeben</w:t>
            </w:r>
            <w:proofErr w:type="spellEnd"/>
            <w:r>
              <w:rPr>
                <w:sz w:val="17"/>
              </w:rPr>
              <w:t xml:space="preserve"> / </w:t>
            </w:r>
            <w:proofErr w:type="spellStart"/>
            <w:r>
              <w:rPr>
                <w:sz w:val="17"/>
              </w:rPr>
              <w:t>Auflagen</w:t>
            </w:r>
            <w:proofErr w:type="spellEnd"/>
            <w:r>
              <w:rPr>
                <w:sz w:val="17"/>
              </w:rPr>
              <w:t xml:space="preserve"> </w:t>
            </w:r>
            <w:proofErr w:type="spellStart"/>
            <w:r>
              <w:rPr>
                <w:sz w:val="17"/>
              </w:rPr>
              <w:t>eintragen</w:t>
            </w:r>
            <w:proofErr w:type="spellEnd"/>
            <w:r>
              <w:rPr>
                <w:sz w:val="17"/>
              </w:rPr>
              <w:t>]</w:t>
            </w:r>
          </w:p>
        </w:tc>
      </w:tr>
      <w:tr w:rsidR="00C97053" w14:paraId="2D2FDF07"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7879AB2D" w14:textId="77777777" w:rsidR="00C97053" w:rsidRDefault="00966A5C">
            <w:pPr>
              <w:spacing w:after="30" w:line="247" w:lineRule="auto"/>
            </w:pPr>
            <w:r>
              <w:rPr>
                <w:sz w:val="17"/>
              </w:rPr>
              <w:t xml:space="preserve">[z. B. </w:t>
            </w:r>
            <w:proofErr w:type="spellStart"/>
            <w:r>
              <w:rPr>
                <w:sz w:val="17"/>
              </w:rPr>
              <w:t>Übersetzungsanwendung</w:t>
            </w:r>
            <w:proofErr w:type="spellEnd"/>
            <w:r>
              <w:rPr>
                <w:sz w:val="17"/>
              </w:rPr>
              <w:t>]</w:t>
            </w:r>
          </w:p>
        </w:tc>
        <w:tc>
          <w:tcPr>
            <w:tcW w:w="22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6EA8CB44" w14:textId="77777777" w:rsidR="00C97053" w:rsidRDefault="00966A5C">
            <w:pPr>
              <w:spacing w:after="30" w:line="247" w:lineRule="auto"/>
            </w:pPr>
            <w:r>
              <w:rPr>
                <w:sz w:val="17"/>
              </w:rPr>
              <w:t>[</w:t>
            </w:r>
            <w:proofErr w:type="spellStart"/>
            <w:r>
              <w:rPr>
                <w:sz w:val="17"/>
              </w:rPr>
              <w:t>Anbieter</w:t>
            </w:r>
            <w:proofErr w:type="spellEnd"/>
            <w:r>
              <w:rPr>
                <w:sz w:val="17"/>
              </w:rPr>
              <w:t>]</w:t>
            </w:r>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5C8AE6EA" w14:textId="77777777" w:rsidR="00C97053" w:rsidRDefault="00966A5C">
            <w:pPr>
              <w:spacing w:after="30" w:line="247" w:lineRule="auto"/>
            </w:pPr>
            <w:proofErr w:type="spellStart"/>
            <w:r>
              <w:rPr>
                <w:sz w:val="17"/>
              </w:rPr>
              <w:t>Übersetzung</w:t>
            </w:r>
            <w:proofErr w:type="spellEnd"/>
            <w:r>
              <w:rPr>
                <w:sz w:val="17"/>
              </w:rPr>
              <w:t xml:space="preserve"> und </w:t>
            </w:r>
            <w:proofErr w:type="spellStart"/>
            <w:r>
              <w:rPr>
                <w:sz w:val="17"/>
              </w:rPr>
              <w:t>sprachliche</w:t>
            </w:r>
            <w:proofErr w:type="spellEnd"/>
            <w:r>
              <w:rPr>
                <w:sz w:val="17"/>
              </w:rPr>
              <w:t xml:space="preserve"> </w:t>
            </w:r>
            <w:proofErr w:type="spellStart"/>
            <w:r>
              <w:rPr>
                <w:sz w:val="17"/>
              </w:rPr>
              <w:t>Überarbeitung</w:t>
            </w:r>
            <w:proofErr w:type="spellEnd"/>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57C9788C" w14:textId="77777777" w:rsidR="00C97053" w:rsidRPr="0021644B" w:rsidRDefault="00966A5C">
            <w:pPr>
              <w:spacing w:after="30" w:line="247" w:lineRule="auto"/>
              <w:rPr>
                <w:lang w:val="de-CH"/>
              </w:rPr>
            </w:pPr>
            <w:r w:rsidRPr="0021644B">
              <w:rPr>
                <w:sz w:val="17"/>
                <w:lang w:val="de-CH"/>
              </w:rPr>
              <w:t>Keine hochsensiblen Daten; vertrauliche Daten nur anonymisiert</w:t>
            </w:r>
          </w:p>
        </w:tc>
        <w:tc>
          <w:tcPr>
            <w:tcW w:w="21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67226F05" w14:textId="77777777" w:rsidR="00C97053" w:rsidRDefault="00966A5C">
            <w:pPr>
              <w:spacing w:after="30" w:line="247" w:lineRule="auto"/>
            </w:pPr>
            <w:r>
              <w:rPr>
                <w:sz w:val="17"/>
              </w:rPr>
              <w:t>[</w:t>
            </w:r>
            <w:proofErr w:type="spellStart"/>
            <w:r>
              <w:rPr>
                <w:sz w:val="17"/>
              </w:rPr>
              <w:t>Benutzerkreis</w:t>
            </w:r>
            <w:proofErr w:type="spellEnd"/>
            <w:r>
              <w:rPr>
                <w:sz w:val="17"/>
              </w:rPr>
              <w:t>]</w:t>
            </w:r>
          </w:p>
        </w:tc>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F09FCB1" w14:textId="77777777" w:rsidR="00C97053" w:rsidRDefault="00966A5C">
            <w:pPr>
              <w:spacing w:after="30" w:line="247" w:lineRule="auto"/>
            </w:pPr>
            <w:r>
              <w:rPr>
                <w:sz w:val="17"/>
              </w:rPr>
              <w:t>[</w:t>
            </w:r>
            <w:proofErr w:type="spellStart"/>
            <w:r>
              <w:rPr>
                <w:sz w:val="17"/>
              </w:rPr>
              <w:t>Auflagen</w:t>
            </w:r>
            <w:proofErr w:type="spellEnd"/>
            <w:r>
              <w:rPr>
                <w:sz w:val="17"/>
              </w:rPr>
              <w:t xml:space="preserve"> </w:t>
            </w:r>
            <w:proofErr w:type="spellStart"/>
            <w:r>
              <w:rPr>
                <w:sz w:val="17"/>
              </w:rPr>
              <w:t>eintragen</w:t>
            </w:r>
            <w:proofErr w:type="spellEnd"/>
            <w:r>
              <w:rPr>
                <w:sz w:val="17"/>
              </w:rPr>
              <w:t>]</w:t>
            </w:r>
          </w:p>
        </w:tc>
      </w:tr>
      <w:tr w:rsidR="00C97053" w14:paraId="5F0672D0"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208BE962" w14:textId="77777777" w:rsidR="00C97053" w:rsidRDefault="00966A5C">
            <w:pPr>
              <w:spacing w:after="30" w:line="247" w:lineRule="auto"/>
            </w:pPr>
            <w:r>
              <w:rPr>
                <w:sz w:val="17"/>
              </w:rPr>
              <w:t xml:space="preserve">[z. B. </w:t>
            </w:r>
            <w:proofErr w:type="spellStart"/>
            <w:r>
              <w:rPr>
                <w:sz w:val="17"/>
              </w:rPr>
              <w:t>öffentlicher</w:t>
            </w:r>
            <w:proofErr w:type="spellEnd"/>
            <w:r>
              <w:rPr>
                <w:sz w:val="17"/>
              </w:rPr>
              <w:t xml:space="preserve"> Chatbot]</w:t>
            </w:r>
          </w:p>
        </w:tc>
        <w:tc>
          <w:tcPr>
            <w:tcW w:w="22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32852646" w14:textId="77777777" w:rsidR="00C97053" w:rsidRDefault="00966A5C">
            <w:pPr>
              <w:spacing w:after="30" w:line="247" w:lineRule="auto"/>
            </w:pPr>
            <w:r>
              <w:rPr>
                <w:sz w:val="17"/>
              </w:rPr>
              <w:t>[</w:t>
            </w:r>
            <w:proofErr w:type="spellStart"/>
            <w:r>
              <w:rPr>
                <w:sz w:val="17"/>
              </w:rPr>
              <w:t>Anbieter</w:t>
            </w:r>
            <w:proofErr w:type="spellEnd"/>
            <w:r>
              <w:rPr>
                <w:sz w:val="17"/>
              </w:rPr>
              <w:t>]</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391A24D2" w14:textId="77777777" w:rsidR="00C97053" w:rsidRPr="0021644B" w:rsidRDefault="00966A5C">
            <w:pPr>
              <w:spacing w:after="30" w:line="247" w:lineRule="auto"/>
              <w:rPr>
                <w:lang w:val="de-CH"/>
              </w:rPr>
            </w:pPr>
            <w:r w:rsidRPr="0021644B">
              <w:rPr>
                <w:sz w:val="17"/>
                <w:lang w:val="de-CH"/>
              </w:rPr>
              <w:t>Allgemeine Ideen, öffentliche Informationen, Formulierungshilfe</w:t>
            </w:r>
          </w:p>
        </w:tc>
        <w:tc>
          <w:tcPr>
            <w:tcW w:w="28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3B035A84" w14:textId="77777777" w:rsidR="00C97053" w:rsidRPr="0021644B" w:rsidRDefault="00966A5C">
            <w:pPr>
              <w:spacing w:after="30" w:line="247" w:lineRule="auto"/>
              <w:rPr>
                <w:lang w:val="de-CH"/>
              </w:rPr>
            </w:pPr>
            <w:r w:rsidRPr="0021644B">
              <w:rPr>
                <w:sz w:val="17"/>
                <w:lang w:val="de-CH"/>
              </w:rPr>
              <w:t>Nur öffentliche oder nicht vertrauliche Inhalte</w:t>
            </w:r>
          </w:p>
        </w:tc>
        <w:tc>
          <w:tcPr>
            <w:tcW w:w="21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0AB445B6" w14:textId="77777777" w:rsidR="00C97053" w:rsidRDefault="00966A5C">
            <w:pPr>
              <w:spacing w:after="30" w:line="247" w:lineRule="auto"/>
            </w:pPr>
            <w:r>
              <w:rPr>
                <w:sz w:val="17"/>
              </w:rPr>
              <w:t>[</w:t>
            </w:r>
            <w:proofErr w:type="spellStart"/>
            <w:r>
              <w:rPr>
                <w:sz w:val="17"/>
              </w:rPr>
              <w:t>Benutzerkreis</w:t>
            </w:r>
            <w:proofErr w:type="spellEnd"/>
            <w:r>
              <w:rPr>
                <w:sz w:val="17"/>
              </w:rPr>
              <w:t>]</w:t>
            </w:r>
          </w:p>
        </w:tc>
        <w:tc>
          <w:tcPr>
            <w:tcW w:w="2500" w:type="dxa"/>
            <w:tcBorders>
              <w:top w:val="single" w:sz="5" w:space="0" w:color="D8D1C8"/>
              <w:left w:val="single" w:sz="5" w:space="0" w:color="D8D1C8"/>
              <w:bottom w:val="single" w:sz="5" w:space="0" w:color="D8D1C8"/>
              <w:right w:val="single" w:sz="5" w:space="0" w:color="D8D1C8"/>
            </w:tcBorders>
            <w:shd w:val="clear" w:color="auto" w:fill="F7F3ED"/>
            <w:tcMar>
              <w:top w:w="95" w:type="dxa"/>
              <w:left w:w="105" w:type="dxa"/>
              <w:bottom w:w="95" w:type="dxa"/>
              <w:right w:w="105" w:type="dxa"/>
            </w:tcMar>
            <w:vAlign w:val="center"/>
          </w:tcPr>
          <w:p w14:paraId="40E2FCBB" w14:textId="77777777" w:rsidR="00C97053" w:rsidRDefault="00966A5C">
            <w:pPr>
              <w:spacing w:after="30" w:line="247" w:lineRule="auto"/>
            </w:pPr>
            <w:r>
              <w:rPr>
                <w:sz w:val="17"/>
              </w:rPr>
              <w:t>[</w:t>
            </w:r>
            <w:proofErr w:type="spellStart"/>
            <w:r>
              <w:rPr>
                <w:sz w:val="17"/>
              </w:rPr>
              <w:t>freigegeben</w:t>
            </w:r>
            <w:proofErr w:type="spellEnd"/>
            <w:r>
              <w:rPr>
                <w:sz w:val="17"/>
              </w:rPr>
              <w:t xml:space="preserve"> / </w:t>
            </w:r>
            <w:proofErr w:type="spellStart"/>
            <w:r>
              <w:rPr>
                <w:sz w:val="17"/>
              </w:rPr>
              <w:t>eingeschränkt</w:t>
            </w:r>
            <w:proofErr w:type="spellEnd"/>
            <w:r>
              <w:rPr>
                <w:sz w:val="17"/>
              </w:rPr>
              <w:t xml:space="preserve"> / verboten]</w:t>
            </w:r>
          </w:p>
        </w:tc>
      </w:tr>
      <w:tr w:rsidR="00C97053" w14:paraId="497A9D6B" w14:textId="77777777">
        <w:trPr>
          <w:jc w:val="center"/>
        </w:trPr>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156F9073" w14:textId="77777777" w:rsidR="00C97053" w:rsidRDefault="00966A5C">
            <w:pPr>
              <w:spacing w:after="30" w:line="247" w:lineRule="auto"/>
            </w:pPr>
            <w:r>
              <w:rPr>
                <w:sz w:val="17"/>
              </w:rPr>
              <w:t>[</w:t>
            </w:r>
            <w:proofErr w:type="spellStart"/>
            <w:r>
              <w:rPr>
                <w:sz w:val="17"/>
              </w:rPr>
              <w:t>weitere</w:t>
            </w:r>
            <w:proofErr w:type="spellEnd"/>
            <w:r>
              <w:rPr>
                <w:sz w:val="17"/>
              </w:rPr>
              <w:t xml:space="preserve"> </w:t>
            </w:r>
            <w:proofErr w:type="spellStart"/>
            <w:r>
              <w:rPr>
                <w:sz w:val="17"/>
              </w:rPr>
              <w:t>Anwendung</w:t>
            </w:r>
            <w:proofErr w:type="spellEnd"/>
            <w:r>
              <w:rPr>
                <w:sz w:val="17"/>
              </w:rPr>
              <w:t>]</w:t>
            </w:r>
          </w:p>
        </w:tc>
        <w:tc>
          <w:tcPr>
            <w:tcW w:w="22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74053B0E" w14:textId="77777777" w:rsidR="00C97053" w:rsidRDefault="00966A5C">
            <w:pPr>
              <w:spacing w:after="30" w:line="247" w:lineRule="auto"/>
            </w:pPr>
            <w:r>
              <w:rPr>
                <w:sz w:val="17"/>
              </w:rPr>
              <w:t>[</w:t>
            </w:r>
            <w:proofErr w:type="spellStart"/>
            <w:r>
              <w:rPr>
                <w:sz w:val="17"/>
              </w:rPr>
              <w:t>Anbieter</w:t>
            </w:r>
            <w:proofErr w:type="spellEnd"/>
            <w:r>
              <w:rPr>
                <w:sz w:val="17"/>
              </w:rPr>
              <w:t>]</w:t>
            </w:r>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07B77988" w14:textId="77777777" w:rsidR="00C97053" w:rsidRDefault="00966A5C">
            <w:pPr>
              <w:spacing w:after="30" w:line="247" w:lineRule="auto"/>
            </w:pPr>
            <w:r>
              <w:rPr>
                <w:sz w:val="17"/>
              </w:rPr>
              <w:t>[Zweck]</w:t>
            </w:r>
          </w:p>
        </w:tc>
        <w:tc>
          <w:tcPr>
            <w:tcW w:w="28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4BE0A09" w14:textId="77777777" w:rsidR="00C97053" w:rsidRDefault="00966A5C">
            <w:pPr>
              <w:spacing w:after="30" w:line="247" w:lineRule="auto"/>
            </w:pPr>
            <w:r>
              <w:rPr>
                <w:sz w:val="17"/>
              </w:rPr>
              <w:t>[</w:t>
            </w:r>
            <w:proofErr w:type="spellStart"/>
            <w:r>
              <w:rPr>
                <w:sz w:val="17"/>
              </w:rPr>
              <w:t>Datenkategorie</w:t>
            </w:r>
            <w:proofErr w:type="spellEnd"/>
            <w:r>
              <w:rPr>
                <w:sz w:val="17"/>
              </w:rPr>
              <w:t>]</w:t>
            </w:r>
          </w:p>
        </w:tc>
        <w:tc>
          <w:tcPr>
            <w:tcW w:w="21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993B484" w14:textId="77777777" w:rsidR="00C97053" w:rsidRDefault="00966A5C">
            <w:pPr>
              <w:spacing w:after="30" w:line="247" w:lineRule="auto"/>
            </w:pPr>
            <w:r>
              <w:rPr>
                <w:sz w:val="17"/>
              </w:rPr>
              <w:t>[</w:t>
            </w:r>
            <w:proofErr w:type="spellStart"/>
            <w:r>
              <w:rPr>
                <w:sz w:val="17"/>
              </w:rPr>
              <w:t>Benutzerkreis</w:t>
            </w:r>
            <w:proofErr w:type="spellEnd"/>
            <w:r>
              <w:rPr>
                <w:sz w:val="17"/>
              </w:rPr>
              <w:t>]</w:t>
            </w:r>
          </w:p>
        </w:tc>
        <w:tc>
          <w:tcPr>
            <w:tcW w:w="2500" w:type="dxa"/>
            <w:tcBorders>
              <w:top w:val="single" w:sz="5" w:space="0" w:color="D8D1C8"/>
              <w:left w:val="single" w:sz="5" w:space="0" w:color="D8D1C8"/>
              <w:bottom w:val="single" w:sz="5" w:space="0" w:color="D8D1C8"/>
              <w:right w:val="single" w:sz="5" w:space="0" w:color="D8D1C8"/>
            </w:tcBorders>
            <w:shd w:val="clear" w:color="auto" w:fill="FFFFFF"/>
            <w:tcMar>
              <w:top w:w="95" w:type="dxa"/>
              <w:left w:w="105" w:type="dxa"/>
              <w:bottom w:w="95" w:type="dxa"/>
              <w:right w:w="105" w:type="dxa"/>
            </w:tcMar>
            <w:vAlign w:val="center"/>
          </w:tcPr>
          <w:p w14:paraId="2280FD1A" w14:textId="77777777" w:rsidR="00C97053" w:rsidRDefault="00966A5C">
            <w:pPr>
              <w:spacing w:after="30" w:line="247" w:lineRule="auto"/>
            </w:pPr>
            <w:r>
              <w:rPr>
                <w:sz w:val="17"/>
              </w:rPr>
              <w:t xml:space="preserve">[Status / </w:t>
            </w:r>
            <w:proofErr w:type="spellStart"/>
            <w:r>
              <w:rPr>
                <w:sz w:val="17"/>
              </w:rPr>
              <w:t>Auflagen</w:t>
            </w:r>
            <w:proofErr w:type="spellEnd"/>
            <w:r>
              <w:rPr>
                <w:sz w:val="17"/>
              </w:rPr>
              <w:t>]</w:t>
            </w:r>
          </w:p>
        </w:tc>
      </w:tr>
    </w:tbl>
    <w:p w14:paraId="7FF5FCF1" w14:textId="77777777" w:rsidR="00966A5C" w:rsidRDefault="00966A5C"/>
    <w:sectPr w:rsidR="00966A5C" w:rsidSect="00034616">
      <w:headerReference w:type="default" r:id="rId15"/>
      <w:footerReference w:type="default" r:id="rId16"/>
      <w:pgSz w:w="16838" w:h="11906" w:orient="landscape"/>
      <w:pgMar w:top="765" w:right="822" w:bottom="765" w:left="822" w:header="397"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C2ACE7" w14:textId="77777777" w:rsidR="00095B76" w:rsidRDefault="00095B76">
      <w:pPr>
        <w:spacing w:after="0" w:line="240" w:lineRule="auto"/>
      </w:pPr>
      <w:r>
        <w:separator/>
      </w:r>
    </w:p>
  </w:endnote>
  <w:endnote w:type="continuationSeparator" w:id="0">
    <w:p w14:paraId="6C0CE07C" w14:textId="77777777" w:rsidR="00095B76" w:rsidRDefault="0009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auto"/>
    <w:pitch w:val="variable"/>
    <w:sig w:usb0="00000003" w:usb1="00000000" w:usb2="00000000" w:usb3="00000000" w:csb0="00000001" w:csb1="00000000"/>
  </w:font>
  <w:font w:name="Avenir Next">
    <w:altName w:val="Calibri"/>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2A097E" w14:textId="77777777" w:rsidR="00C97053" w:rsidRPr="0021644B" w:rsidRDefault="00966A5C">
    <w:pPr>
      <w:pStyle w:val="Footer"/>
      <w:pBdr>
        <w:top w:val="single" w:sz="6" w:space="5" w:color="D8D1C8"/>
      </w:pBdr>
      <w:tabs>
        <w:tab w:val="right" w:pos="9866"/>
      </w:tabs>
      <w:spacing w:before="80"/>
      <w:rPr>
        <w:lang w:val="de-CH"/>
      </w:rPr>
    </w:pPr>
    <w:r w:rsidRPr="00072D6E">
      <w:rPr>
        <w:color w:val="766B62"/>
        <w:sz w:val="15"/>
        <w:lang w:val="de-CH"/>
      </w:rPr>
      <w:t>sallenbach.org · KI-Richtlinie · Entwurf</w:t>
    </w:r>
    <w:r w:rsidRPr="00072D6E">
      <w:rPr>
        <w:rFonts w:ascii="Avenir Next" w:eastAsia="Avenir Next" w:hAnsi="Avenir Next" w:cs="Avenir Next"/>
        <w:b/>
        <w:color w:val="C5A059"/>
        <w:sz w:val="15"/>
        <w:lang w:val="de-CH"/>
      </w:rPr>
      <w:tab/>
      <w:t xml:space="preserve">SEITE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PAGE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r w:rsidRPr="00072D6E">
      <w:rPr>
        <w:rFonts w:ascii="Avenir Next" w:eastAsia="Avenir Next" w:hAnsi="Avenir Next" w:cs="Avenir Next"/>
        <w:b/>
        <w:color w:val="C5A059"/>
        <w:sz w:val="15"/>
        <w:lang w:val="de-CH"/>
      </w:rPr>
      <w:t xml:space="preserve"> /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NUMPAGES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AB3074" w14:textId="77777777" w:rsidR="00C64C57" w:rsidRPr="00072D6E" w:rsidRDefault="00B56A32">
    <w:pPr>
      <w:pBdr>
        <w:top w:val="single" w:sz="6" w:space="5" w:color="D8D1C8"/>
      </w:pBdr>
      <w:tabs>
        <w:tab w:val="right" w:pos="9866"/>
      </w:tabs>
      <w:spacing w:before="80"/>
      <w:rPr>
        <w:lang w:val="de-CH"/>
      </w:rPr>
    </w:pPr>
    <w:r w:rsidRPr="00072D6E">
      <w:rPr>
        <w:color w:val="766B62"/>
        <w:sz w:val="16"/>
        <w:lang w:val="de-CH"/>
      </w:rPr>
      <w:t>Stein am Rhein · Schweiz · sallenbach.org</w:t>
    </w:r>
    <w:r w:rsidRPr="00072D6E">
      <w:rPr>
        <w:rFonts w:ascii="Avenir Next" w:eastAsia="Avenir Next" w:hAnsi="Avenir Next" w:cs="Avenir Next"/>
        <w:b/>
        <w:color w:val="C5A059"/>
        <w:sz w:val="16"/>
        <w:lang w:val="de-CH"/>
      </w:rPr>
      <w:tab/>
      <w:t>AI GOVERNANCE ·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6B305F" w14:textId="77777777" w:rsidR="00C64C57" w:rsidRPr="00072D6E" w:rsidRDefault="00B56A32">
    <w:pPr>
      <w:pBdr>
        <w:top w:val="single" w:sz="6" w:space="5" w:color="D8D1C8"/>
      </w:pBdr>
      <w:tabs>
        <w:tab w:val="right" w:pos="15194"/>
      </w:tabs>
      <w:spacing w:before="80" w:line="240" w:lineRule="auto"/>
      <w:rPr>
        <w:lang w:val="de-CH"/>
      </w:rPr>
    </w:pPr>
    <w:r w:rsidRPr="00072D6E">
      <w:rPr>
        <w:color w:val="766B62"/>
        <w:sz w:val="15"/>
        <w:lang w:val="de-CH"/>
      </w:rPr>
      <w:t>sallenbach.org · KI-Richtlinie · Entwurf</w:t>
    </w:r>
    <w:r w:rsidRPr="00072D6E">
      <w:rPr>
        <w:rFonts w:ascii="Avenir Next" w:eastAsia="Avenir Next" w:hAnsi="Avenir Next" w:cs="Avenir Next"/>
        <w:b/>
        <w:color w:val="C5A059"/>
        <w:sz w:val="15"/>
        <w:lang w:val="de-CH"/>
      </w:rPr>
      <w:tab/>
      <w:t xml:space="preserve">SEITE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PAGE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r w:rsidRPr="00072D6E">
      <w:rPr>
        <w:rFonts w:ascii="Avenir Next" w:eastAsia="Avenir Next" w:hAnsi="Avenir Next" w:cs="Avenir Next"/>
        <w:b/>
        <w:color w:val="C5A059"/>
        <w:sz w:val="15"/>
        <w:lang w:val="de-CH"/>
      </w:rPr>
      <w:t xml:space="preserve"> / </w:t>
    </w:r>
    <w:r>
      <w:rPr>
        <w:rFonts w:ascii="Avenir Next" w:eastAsia="Avenir Next" w:hAnsi="Avenir Next" w:cs="Avenir Next"/>
        <w:b/>
        <w:color w:val="C5A059"/>
        <w:sz w:val="15"/>
      </w:rPr>
      <w:fldChar w:fldCharType="begin"/>
    </w:r>
    <w:r w:rsidRPr="00072D6E">
      <w:rPr>
        <w:rFonts w:ascii="Avenir Next" w:eastAsia="Avenir Next" w:hAnsi="Avenir Next" w:cs="Avenir Next"/>
        <w:b/>
        <w:color w:val="C5A059"/>
        <w:sz w:val="15"/>
        <w:lang w:val="de-CH"/>
      </w:rPr>
      <w:instrText xml:space="preserve"> NUMPAGES </w:instrText>
    </w:r>
    <w:r>
      <w:rPr>
        <w:rFonts w:ascii="Avenir Next" w:eastAsia="Avenir Next" w:hAnsi="Avenir Next" w:cs="Avenir Next"/>
        <w:b/>
        <w:color w:val="C5A059"/>
        <w:sz w:val="15"/>
      </w:rPr>
      <w:fldChar w:fldCharType="separate"/>
    </w:r>
    <w:r w:rsidRPr="00072D6E">
      <w:rPr>
        <w:rFonts w:ascii="Avenir Next" w:eastAsia="Avenir Next" w:hAnsi="Avenir Next" w:cs="Avenir Next"/>
        <w:b/>
        <w:color w:val="C5A059"/>
        <w:sz w:val="15"/>
        <w:lang w:val="de-CH"/>
      </w:rPr>
      <w:t>1</w:t>
    </w:r>
    <w:r>
      <w:rPr>
        <w:rFonts w:ascii="Avenir Next" w:eastAsia="Avenir Next" w:hAnsi="Avenir Next" w:cs="Avenir Next"/>
        <w:b/>
        <w:color w:val="C5A059"/>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949D20" w14:textId="77777777" w:rsidR="00095B76" w:rsidRDefault="00095B76">
      <w:pPr>
        <w:spacing w:after="0" w:line="240" w:lineRule="auto"/>
      </w:pPr>
      <w:r>
        <w:separator/>
      </w:r>
    </w:p>
  </w:footnote>
  <w:footnote w:type="continuationSeparator" w:id="0">
    <w:p w14:paraId="7EE610B0" w14:textId="77777777" w:rsidR="00095B76" w:rsidRDefault="00095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70B1E7" w14:textId="77777777" w:rsidR="00C64C57" w:rsidRPr="00072D6E" w:rsidRDefault="00B56A32">
    <w:pPr>
      <w:pBdr>
        <w:bottom w:val="single" w:sz="8" w:space="5" w:color="C5A059"/>
      </w:pBdr>
      <w:tabs>
        <w:tab w:val="right" w:pos="9866"/>
      </w:tabs>
      <w:spacing w:after="80" w:line="240" w:lineRule="auto"/>
      <w:rPr>
        <w:lang w:val="it-CH"/>
      </w:rPr>
    </w:pPr>
    <w:r w:rsidRPr="00072D6E">
      <w:rPr>
        <w:rFonts w:ascii="Avenir Next" w:eastAsia="Avenir Next" w:hAnsi="Avenir Next" w:cs="Avenir Next"/>
        <w:b/>
        <w:sz w:val="17"/>
        <w:lang w:val="it-CH"/>
      </w:rPr>
      <w:t>S A L L E N B A C H · O R G</w:t>
    </w:r>
    <w:r w:rsidRPr="00072D6E">
      <w:rPr>
        <w:rFonts w:ascii="Avenir Next" w:eastAsia="Avenir Next" w:hAnsi="Avenir Next" w:cs="Avenir Next"/>
        <w:b/>
        <w:color w:val="C5A059"/>
        <w:sz w:val="15"/>
        <w:lang w:val="it-CH"/>
      </w:rPr>
      <w:tab/>
      <w:t>KI-RICHTLINIE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4693DA" w14:textId="77777777" w:rsidR="00C64C57" w:rsidRDefault="00C64C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7D4EB0" w14:textId="77777777" w:rsidR="00C64C57" w:rsidRDefault="00B56A32">
    <w:pPr>
      <w:pBdr>
        <w:bottom w:val="single" w:sz="8" w:space="5" w:color="C5A059"/>
      </w:pBdr>
      <w:tabs>
        <w:tab w:val="right" w:pos="15194"/>
      </w:tabs>
      <w:spacing w:after="80" w:line="240" w:lineRule="auto"/>
    </w:pPr>
    <w:r>
      <w:rPr>
        <w:rFonts w:ascii="Avenir Next" w:eastAsia="Avenir Next" w:hAnsi="Avenir Next" w:cs="Avenir Next"/>
        <w:b/>
        <w:sz w:val="17"/>
      </w:rPr>
      <w:t xml:space="preserve">S A L </w:t>
    </w:r>
    <w:proofErr w:type="spellStart"/>
    <w:r>
      <w:rPr>
        <w:rFonts w:ascii="Avenir Next" w:eastAsia="Avenir Next" w:hAnsi="Avenir Next" w:cs="Avenir Next"/>
        <w:b/>
        <w:sz w:val="17"/>
      </w:rPr>
      <w:t>L</w:t>
    </w:r>
    <w:proofErr w:type="spellEnd"/>
    <w:r>
      <w:rPr>
        <w:rFonts w:ascii="Avenir Next" w:eastAsia="Avenir Next" w:hAnsi="Avenir Next" w:cs="Avenir Next"/>
        <w:b/>
        <w:sz w:val="17"/>
      </w:rPr>
      <w:t xml:space="preserve"> E N B A C H · O R G</w:t>
    </w:r>
    <w:r>
      <w:rPr>
        <w:rFonts w:ascii="Avenir Next" w:eastAsia="Avenir Next" w:hAnsi="Avenir Next" w:cs="Avenir Next"/>
        <w:b/>
        <w:color w:val="C5A059"/>
        <w:sz w:val="15"/>
      </w:rPr>
      <w:tab/>
      <w:t>ANHANG 1 · FREIGABEINVENTAR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8095363">
    <w:abstractNumId w:val="8"/>
  </w:num>
  <w:num w:numId="2" w16cid:durableId="1936860758">
    <w:abstractNumId w:val="6"/>
  </w:num>
  <w:num w:numId="3" w16cid:durableId="177548279">
    <w:abstractNumId w:val="5"/>
  </w:num>
  <w:num w:numId="4" w16cid:durableId="318189246">
    <w:abstractNumId w:val="4"/>
  </w:num>
  <w:num w:numId="5" w16cid:durableId="1759327168">
    <w:abstractNumId w:val="7"/>
  </w:num>
  <w:num w:numId="6" w16cid:durableId="310408409">
    <w:abstractNumId w:val="3"/>
  </w:num>
  <w:num w:numId="7" w16cid:durableId="745299747">
    <w:abstractNumId w:val="2"/>
  </w:num>
  <w:num w:numId="8" w16cid:durableId="588544678">
    <w:abstractNumId w:val="1"/>
  </w:num>
  <w:num w:numId="9" w16cid:durableId="139847321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1C9"/>
    <w:rsid w:val="0006063C"/>
    <w:rsid w:val="00072D6E"/>
    <w:rsid w:val="00095B76"/>
    <w:rsid w:val="000E4914"/>
    <w:rsid w:val="00114CFB"/>
    <w:rsid w:val="00146A86"/>
    <w:rsid w:val="0015074B"/>
    <w:rsid w:val="0021644B"/>
    <w:rsid w:val="00233FF5"/>
    <w:rsid w:val="0029639D"/>
    <w:rsid w:val="00326F90"/>
    <w:rsid w:val="003E42FC"/>
    <w:rsid w:val="004B6E56"/>
    <w:rsid w:val="004C1FCB"/>
    <w:rsid w:val="00657C22"/>
    <w:rsid w:val="006F49FF"/>
    <w:rsid w:val="008526E0"/>
    <w:rsid w:val="00911B2E"/>
    <w:rsid w:val="00963C32"/>
    <w:rsid w:val="00966A5C"/>
    <w:rsid w:val="00AA1D8D"/>
    <w:rsid w:val="00AB68F3"/>
    <w:rsid w:val="00AF5484"/>
    <w:rsid w:val="00B47730"/>
    <w:rsid w:val="00B56A32"/>
    <w:rsid w:val="00C64C57"/>
    <w:rsid w:val="00C74F98"/>
    <w:rsid w:val="00C97053"/>
    <w:rsid w:val="00CB0664"/>
    <w:rsid w:val="00D453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88876"/>
  <w14:defaultImageDpi w14:val="300"/>
  <w15:docId w15:val="{20991101-E99E-41E6-9AE8-E928F400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10" w:line="271" w:lineRule="auto"/>
    </w:pPr>
    <w:rPr>
      <w:rFonts w:ascii="Helvetica Neue" w:eastAsia="Helvetica Neue" w:hAnsi="Helvetica Neue" w:cs="Helvetica Neue"/>
      <w:color w:val="514236"/>
      <w:sz w:val="20"/>
    </w:rPr>
  </w:style>
  <w:style w:type="paragraph" w:styleId="Heading1">
    <w:name w:val="heading 1"/>
    <w:basedOn w:val="Normal"/>
    <w:next w:val="Normal"/>
    <w:link w:val="Heading1Char"/>
    <w:uiPriority w:val="9"/>
    <w:qFormat/>
    <w:rsid w:val="00FC693F"/>
    <w:pPr>
      <w:keepNext/>
      <w:keepLines/>
      <w:spacing w:before="280" w:after="100" w:line="247" w:lineRule="auto"/>
      <w:outlineLvl w:val="0"/>
    </w:pPr>
    <w:rPr>
      <w:rFonts w:asciiTheme="majorHAnsi" w:eastAsiaTheme="majorEastAsia" w:hAnsiTheme="majorHAnsi" w:cstheme="majorBidi"/>
      <w:b/>
      <w:bCs/>
      <w:sz w:val="29"/>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rPr>
      <w:rFonts w:ascii="Aptos" w:eastAsia="Aptos" w:hAnsi="Aptos"/>
      <w:sz w:val="21"/>
    </w:rPr>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rPr>
      <w:rFonts w:ascii="Aptos" w:eastAsia="Aptos" w:hAnsi="Aptos"/>
      <w:sz w:val="21"/>
    </w:rPr>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rFonts w:ascii="Aptos" w:eastAsia="Aptos" w:hAnsi="Aptos"/>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allenbachNote">
    <w:name w:val="Sallenbach Note"/>
    <w:pPr>
      <w:spacing w:before="100" w:line="264" w:lineRule="auto"/>
      <w:ind w:left="181" w:right="142"/>
    </w:pPr>
    <w:rPr>
      <w:rFonts w:ascii="Helvetica Neue" w:eastAsia="Helvetica Neue" w:hAnsi="Helvetica Neue" w:cs="Helvetica Neue"/>
      <w:color w:val="514236"/>
      <w:sz w:val="18"/>
    </w:rPr>
  </w:style>
  <w:style w:type="paragraph" w:customStyle="1" w:styleId="DataClassification">
    <w:name w:val="Data Classification"/>
    <w:pPr>
      <w:keepNext/>
      <w:spacing w:before="140" w:after="80" w:line="240" w:lineRule="auto"/>
      <w:ind w:left="142" w:right="113"/>
    </w:pPr>
    <w:rPr>
      <w:rFonts w:ascii="Avenir Next" w:eastAsia="Avenir Next" w:hAnsi="Avenir Next" w:cs="Avenir Next"/>
      <w:b/>
      <w:color w:val="514236"/>
      <w:sz w:val="20"/>
    </w:rPr>
  </w:style>
  <w:style w:type="character" w:styleId="CommentReference">
    <w:name w:val="annotation reference"/>
    <w:basedOn w:val="DefaultParagraphFont"/>
    <w:uiPriority w:val="99"/>
    <w:semiHidden/>
    <w:unhideWhenUsed/>
    <w:rsid w:val="00114CFB"/>
    <w:rPr>
      <w:sz w:val="16"/>
      <w:szCs w:val="16"/>
    </w:rPr>
  </w:style>
  <w:style w:type="paragraph" w:styleId="CommentText">
    <w:name w:val="annotation text"/>
    <w:basedOn w:val="Normal"/>
    <w:link w:val="CommentTextChar"/>
    <w:uiPriority w:val="99"/>
    <w:semiHidden/>
    <w:unhideWhenUsed/>
    <w:rsid w:val="00114CFB"/>
    <w:pPr>
      <w:spacing w:line="240" w:lineRule="auto"/>
    </w:pPr>
    <w:rPr>
      <w:szCs w:val="20"/>
    </w:rPr>
  </w:style>
  <w:style w:type="character" w:customStyle="1" w:styleId="CommentTextChar">
    <w:name w:val="Comment Text Char"/>
    <w:basedOn w:val="DefaultParagraphFont"/>
    <w:link w:val="CommentText"/>
    <w:uiPriority w:val="99"/>
    <w:semiHidden/>
    <w:rsid w:val="00114CFB"/>
    <w:rPr>
      <w:rFonts w:ascii="Helvetica Neue" w:eastAsia="Helvetica Neue" w:hAnsi="Helvetica Neue" w:cs="Helvetica Neue"/>
      <w:color w:val="514236"/>
      <w:sz w:val="20"/>
      <w:szCs w:val="20"/>
    </w:rPr>
  </w:style>
  <w:style w:type="paragraph" w:styleId="CommentSubject">
    <w:name w:val="annotation subject"/>
    <w:basedOn w:val="CommentText"/>
    <w:next w:val="CommentText"/>
    <w:link w:val="CommentSubjectChar"/>
    <w:uiPriority w:val="99"/>
    <w:semiHidden/>
    <w:unhideWhenUsed/>
    <w:rsid w:val="00114CFB"/>
    <w:rPr>
      <w:b/>
      <w:bCs/>
    </w:rPr>
  </w:style>
  <w:style w:type="character" w:customStyle="1" w:styleId="CommentSubjectChar">
    <w:name w:val="Comment Subject Char"/>
    <w:basedOn w:val="CommentTextChar"/>
    <w:link w:val="CommentSubject"/>
    <w:uiPriority w:val="99"/>
    <w:semiHidden/>
    <w:rsid w:val="00114CFB"/>
    <w:rPr>
      <w:rFonts w:ascii="Helvetica Neue" w:eastAsia="Helvetica Neue" w:hAnsi="Helvetica Neue" w:cs="Helvetica Neue"/>
      <w:b/>
      <w:bCs/>
      <w:color w:val="514236"/>
      <w:sz w:val="20"/>
      <w:szCs w:val="20"/>
    </w:rPr>
  </w:style>
  <w:style w:type="paragraph" w:styleId="Revision">
    <w:name w:val="Revision"/>
    <w:hidden/>
    <w:uiPriority w:val="99"/>
    <w:semiHidden/>
    <w:rsid w:val="00146A86"/>
    <w:pPr>
      <w:spacing w:after="0" w:line="240" w:lineRule="auto"/>
    </w:pPr>
    <w:rPr>
      <w:rFonts w:ascii="Helvetica Neue" w:eastAsia="Helvetica Neue" w:hAnsi="Helvetica Neue" w:cs="Helvetica Neue"/>
      <w:color w:val="51423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E7A4DA9371294AA91F4E7CE7256736" ma:contentTypeVersion="13" ma:contentTypeDescription="Ein neues Dokument erstellen." ma:contentTypeScope="" ma:versionID="ed1c4860cc6cf646440ec3753aa5bf9a">
  <xsd:schema xmlns:xsd="http://www.w3.org/2001/XMLSchema" xmlns:xs="http://www.w3.org/2001/XMLSchema" xmlns:p="http://schemas.microsoft.com/office/2006/metadata/properties" xmlns:ns2="07961d93-1fc8-4325-ab6b-7a1b24407d06" xmlns:ns3="97b84b5f-644f-4cda-89b2-2cd34a5776d4" targetNamespace="http://schemas.microsoft.com/office/2006/metadata/properties" ma:root="true" ma:fieldsID="288627932e25c56e5926ce93bba85bed" ns2:_="" ns3:_="">
    <xsd:import namespace="07961d93-1fc8-4325-ab6b-7a1b24407d06"/>
    <xsd:import namespace="97b84b5f-644f-4cda-89b2-2cd34a5776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61d93-1fc8-4325-ab6b-7a1b24407d0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4e6f56a6-4321-4115-af5a-3722f62fe65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84b5f-644f-4cda-89b2-2cd34a5776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2c694b-1d5f-4865-93df-edd092c89f0f}" ma:internalName="TaxCatchAll" ma:showField="CatchAllData" ma:web="97b84b5f-644f-4cda-89b2-2cd34a577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7b84b5f-644f-4cda-89b2-2cd34a5776d4" xsi:nil="true"/>
    <lcf76f155ced4ddcb4097134ff3c332f xmlns="07961d93-1fc8-4325-ab6b-7a1b24407d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59718-7D08-4000-82A3-A7B442A45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61d93-1fc8-4325-ab6b-7a1b24407d06"/>
    <ds:schemaRef ds:uri="97b84b5f-644f-4cda-89b2-2cd34a577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C986FDB-ACF8-46C8-8F24-A79D3D9AF911}">
  <ds:schemaRefs>
    <ds:schemaRef ds:uri="http://schemas.microsoft.com/office/2006/metadata/properties"/>
    <ds:schemaRef ds:uri="http://schemas.microsoft.com/office/infopath/2007/PartnerControls"/>
    <ds:schemaRef ds:uri="97b84b5f-644f-4cda-89b2-2cd34a5776d4"/>
    <ds:schemaRef ds:uri="07961d93-1fc8-4325-ab6b-7a1b24407d06"/>
  </ds:schemaRefs>
</ds:datastoreItem>
</file>

<file path=customXml/itemProps4.xml><?xml version="1.0" encoding="utf-8"?>
<ds:datastoreItem xmlns:ds="http://schemas.openxmlformats.org/officeDocument/2006/customXml" ds:itemID="{8BA50C0A-CA41-45B1-8735-3EF1C1097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1303</Words>
  <Characters>10361</Characters>
  <Application>Microsoft Office Word</Application>
  <DocSecurity>0</DocSecurity>
  <Lines>191</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KI-Richtlinie der Sallenbach AG</dc:title>
  <dc:subject>Richtlinie zum verantwortungsvollen Einsatz künstlicher Intelligenz</dc:subject>
  <dc:creator>Sallenbach AG</dc:creator>
  <cp:keywords>KI, AI Governance, Richtlinie, Sallenbach AG</cp:keywords>
  <dc:description>generated by python-docx</dc:description>
  <cp:lastModifiedBy>Vero Sallenbach</cp:lastModifiedBy>
  <cp:revision>1</cp:revision>
  <dcterms:created xsi:type="dcterms:W3CDTF">2026-07-06T07:36:00Z</dcterms:created>
  <dcterms:modified xsi:type="dcterms:W3CDTF">2026-07-15T08:41:00Z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0x010100ADE7A4DA9371294AA91F4E7CE7256736</vt:lpwstr>
  </property>
</Properties>
</file>